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A0758" w14:textId="77777777" w:rsidR="003C223A" w:rsidRDefault="003C223A" w:rsidP="003C223A">
      <w:pPr>
        <w:jc w:val="center"/>
        <w:rPr>
          <w:rFonts w:ascii="Times New Roman" w:eastAsia="Times New Roman" w:hAnsi="Times New Roman" w:cs="Times New Roman"/>
          <w:i/>
        </w:rPr>
      </w:pPr>
    </w:p>
    <w:p w14:paraId="3649E3C9" w14:textId="0EFD8F95" w:rsidR="00227082" w:rsidRPr="003C223A" w:rsidRDefault="00494A9F" w:rsidP="003C223A">
      <w:pPr>
        <w:jc w:val="center"/>
        <w:rPr>
          <w:b/>
          <w:sz w:val="28"/>
          <w:szCs w:val="28"/>
        </w:rPr>
      </w:pPr>
      <w:r>
        <w:rPr>
          <w:rFonts w:ascii="Times New Roman" w:eastAsia="Times New Roman" w:hAnsi="Times New Roman" w:cs="Times New Roman"/>
          <w:i/>
        </w:rPr>
        <w:t>for</w:t>
      </w:r>
      <w:r>
        <w:rPr>
          <w:b/>
          <w:sz w:val="28"/>
          <w:szCs w:val="28"/>
        </w:rPr>
        <w:t xml:space="preserve"> </w:t>
      </w:r>
      <w:r>
        <w:rPr>
          <w:b/>
          <w:sz w:val="28"/>
          <w:szCs w:val="28"/>
        </w:rPr>
        <w:t>New Managers and</w:t>
      </w:r>
      <w:r w:rsidR="003C223A">
        <w:rPr>
          <w:b/>
          <w:sz w:val="28"/>
          <w:szCs w:val="28"/>
        </w:rPr>
        <w:t xml:space="preserve"> </w:t>
      </w:r>
      <w:r>
        <w:rPr>
          <w:b/>
          <w:sz w:val="28"/>
          <w:szCs w:val="28"/>
        </w:rPr>
        <w:t>Members</w:t>
      </w:r>
      <w:bookmarkStart w:id="0" w:name="_gjdgxs" w:colFirst="0" w:colLast="0"/>
      <w:bookmarkEnd w:id="0"/>
    </w:p>
    <w:p w14:paraId="0CE1C6C7" w14:textId="77777777" w:rsidR="00227082" w:rsidRDefault="00227082">
      <w:pPr>
        <w:shd w:val="clear" w:color="auto" w:fill="FFFFFF"/>
        <w:spacing w:after="0" w:line="240" w:lineRule="auto"/>
        <w:rPr>
          <w:color w:val="222222"/>
          <w:sz w:val="24"/>
          <w:szCs w:val="24"/>
        </w:rPr>
      </w:pPr>
    </w:p>
    <w:p w14:paraId="6A5DA681" w14:textId="32C419ED" w:rsidR="00227082" w:rsidRDefault="00494A9F">
      <w:pPr>
        <w:shd w:val="clear" w:color="auto" w:fill="FFFFFF"/>
        <w:spacing w:after="0" w:line="240" w:lineRule="auto"/>
        <w:rPr>
          <w:b/>
          <w:color w:val="222222"/>
          <w:sz w:val="24"/>
          <w:szCs w:val="24"/>
        </w:rPr>
      </w:pPr>
      <w:r>
        <w:rPr>
          <w:b/>
          <w:color w:val="222222"/>
          <w:sz w:val="24"/>
          <w:szCs w:val="24"/>
        </w:rPr>
        <w:t>Creating Your Fund Profile</w:t>
      </w:r>
    </w:p>
    <w:p w14:paraId="40E57663" w14:textId="77777777" w:rsidR="003C223A" w:rsidRDefault="003C223A">
      <w:pPr>
        <w:shd w:val="clear" w:color="auto" w:fill="FFFFFF"/>
        <w:spacing w:after="0" w:line="240" w:lineRule="auto"/>
        <w:rPr>
          <w:b/>
          <w:color w:val="222222"/>
          <w:sz w:val="24"/>
          <w:szCs w:val="24"/>
        </w:rPr>
      </w:pP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719"/>
        <w:gridCol w:w="4301"/>
        <w:gridCol w:w="4760"/>
      </w:tblGrid>
      <w:tr w:rsidR="003C223A" w:rsidRPr="003C223A" w14:paraId="0A7A37BA" w14:textId="77777777" w:rsidTr="003C223A">
        <w:trPr>
          <w:trHeight w:val="20"/>
        </w:trPr>
        <w:tc>
          <w:tcPr>
            <w:tcW w:w="797" w:type="pct"/>
            <w:tcBorders>
              <w:bottom w:val="single" w:sz="8" w:space="0" w:color="648CB2"/>
            </w:tcBorders>
          </w:tcPr>
          <w:p w14:paraId="65012785" w14:textId="77777777" w:rsidR="003C223A" w:rsidRPr="003C223A" w:rsidRDefault="003C223A">
            <w:pPr>
              <w:widowControl w:val="0"/>
              <w:pBdr>
                <w:top w:val="nil"/>
                <w:left w:val="nil"/>
                <w:bottom w:val="nil"/>
                <w:right w:val="nil"/>
                <w:between w:val="nil"/>
              </w:pBdr>
              <w:spacing w:after="0" w:line="240" w:lineRule="auto"/>
              <w:jc w:val="center"/>
              <w:rPr>
                <w:rFonts w:asciiTheme="majorHAnsi" w:hAnsiTheme="majorHAnsi" w:cstheme="majorHAnsi"/>
                <w:b/>
                <w:color w:val="222222"/>
                <w:sz w:val="20"/>
                <w:szCs w:val="20"/>
              </w:rPr>
            </w:pPr>
          </w:p>
        </w:tc>
        <w:tc>
          <w:tcPr>
            <w:tcW w:w="1995" w:type="pct"/>
            <w:tcBorders>
              <w:bottom w:val="single" w:sz="8" w:space="0" w:color="648CB2"/>
            </w:tcBorders>
            <w:shd w:val="clear" w:color="auto" w:fill="auto"/>
            <w:tcMar>
              <w:top w:w="100" w:type="dxa"/>
              <w:left w:w="100" w:type="dxa"/>
              <w:bottom w:w="100" w:type="dxa"/>
              <w:right w:w="100" w:type="dxa"/>
            </w:tcMar>
          </w:tcPr>
          <w:p w14:paraId="403A3A9C" w14:textId="320AD7AF" w:rsidR="003C223A" w:rsidRPr="003C223A" w:rsidRDefault="003C223A">
            <w:pPr>
              <w:widowControl w:val="0"/>
              <w:pBdr>
                <w:top w:val="nil"/>
                <w:left w:val="nil"/>
                <w:bottom w:val="nil"/>
                <w:right w:val="nil"/>
                <w:between w:val="nil"/>
              </w:pBdr>
              <w:spacing w:after="0" w:line="240" w:lineRule="auto"/>
              <w:jc w:val="center"/>
              <w:rPr>
                <w:rFonts w:asciiTheme="majorHAnsi" w:hAnsiTheme="majorHAnsi" w:cstheme="majorHAnsi"/>
                <w:b/>
                <w:color w:val="222222"/>
                <w:sz w:val="20"/>
                <w:szCs w:val="20"/>
              </w:rPr>
            </w:pPr>
            <w:r w:rsidRPr="003C223A">
              <w:rPr>
                <w:rFonts w:asciiTheme="majorHAnsi" w:hAnsiTheme="majorHAnsi" w:cstheme="majorHAnsi"/>
                <w:b/>
                <w:color w:val="222222"/>
                <w:sz w:val="20"/>
                <w:szCs w:val="20"/>
              </w:rPr>
              <w:t>Example</w:t>
            </w:r>
          </w:p>
        </w:tc>
        <w:tc>
          <w:tcPr>
            <w:tcW w:w="2208" w:type="pct"/>
            <w:tcBorders>
              <w:bottom w:val="single" w:sz="8" w:space="0" w:color="648CB2"/>
            </w:tcBorders>
            <w:shd w:val="clear" w:color="auto" w:fill="auto"/>
            <w:tcMar>
              <w:top w:w="100" w:type="dxa"/>
              <w:left w:w="100" w:type="dxa"/>
              <w:bottom w:w="100" w:type="dxa"/>
              <w:right w:w="100" w:type="dxa"/>
            </w:tcMar>
          </w:tcPr>
          <w:p w14:paraId="14E75A27" w14:textId="77777777" w:rsidR="003C223A" w:rsidRPr="003C223A" w:rsidRDefault="003C223A">
            <w:pPr>
              <w:widowControl w:val="0"/>
              <w:pBdr>
                <w:top w:val="nil"/>
                <w:left w:val="nil"/>
                <w:bottom w:val="nil"/>
                <w:right w:val="nil"/>
                <w:between w:val="nil"/>
              </w:pBdr>
              <w:spacing w:after="0" w:line="240" w:lineRule="auto"/>
              <w:jc w:val="center"/>
              <w:rPr>
                <w:rFonts w:asciiTheme="majorHAnsi" w:hAnsiTheme="majorHAnsi" w:cstheme="majorHAnsi"/>
                <w:b/>
                <w:color w:val="222222"/>
                <w:sz w:val="20"/>
                <w:szCs w:val="20"/>
              </w:rPr>
            </w:pPr>
            <w:r w:rsidRPr="003C223A">
              <w:rPr>
                <w:rFonts w:asciiTheme="majorHAnsi" w:hAnsiTheme="majorHAnsi" w:cstheme="majorHAnsi"/>
                <w:b/>
                <w:color w:val="222222"/>
                <w:sz w:val="20"/>
                <w:szCs w:val="20"/>
              </w:rPr>
              <w:t>Your Information</w:t>
            </w:r>
          </w:p>
        </w:tc>
      </w:tr>
      <w:tr w:rsidR="003C223A" w:rsidRPr="003C223A" w14:paraId="112B97CF" w14:textId="77777777" w:rsidTr="003C223A">
        <w:trPr>
          <w:trHeight w:val="20"/>
        </w:trPr>
        <w:tc>
          <w:tcPr>
            <w:tcW w:w="797" w:type="pct"/>
            <w:tcBorders>
              <w:top w:val="single" w:sz="8" w:space="0" w:color="648CB2"/>
              <w:left w:val="single" w:sz="8" w:space="0" w:color="648CB2"/>
              <w:bottom w:val="single" w:sz="8" w:space="0" w:color="648CB2"/>
              <w:right w:val="single" w:sz="8" w:space="0" w:color="648CB2"/>
            </w:tcBorders>
            <w:shd w:val="clear" w:color="auto" w:fill="3984C6"/>
          </w:tcPr>
          <w:p w14:paraId="14CE322A" w14:textId="77777777"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FFFFFF"/>
                <w:sz w:val="20"/>
                <w:szCs w:val="20"/>
              </w:rPr>
            </w:pPr>
          </w:p>
        </w:tc>
        <w:tc>
          <w:tcPr>
            <w:tcW w:w="1995" w:type="pct"/>
            <w:tcBorders>
              <w:top w:val="single" w:sz="8" w:space="0" w:color="648CB2"/>
              <w:left w:val="single" w:sz="8" w:space="0" w:color="648CB2"/>
              <w:bottom w:val="single" w:sz="8" w:space="0" w:color="648CB2"/>
              <w:right w:val="single" w:sz="8" w:space="0" w:color="648CB2"/>
            </w:tcBorders>
            <w:shd w:val="clear" w:color="auto" w:fill="3984C6"/>
            <w:tcMar>
              <w:top w:w="100" w:type="dxa"/>
              <w:left w:w="100" w:type="dxa"/>
              <w:bottom w:w="100" w:type="dxa"/>
              <w:right w:w="100" w:type="dxa"/>
            </w:tcMar>
          </w:tcPr>
          <w:p w14:paraId="0DB89ED5" w14:textId="7855F613"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FFFFFF"/>
                <w:sz w:val="20"/>
                <w:szCs w:val="20"/>
              </w:rPr>
            </w:pPr>
            <w:r w:rsidRPr="003C223A">
              <w:rPr>
                <w:rFonts w:asciiTheme="majorHAnsi" w:hAnsiTheme="majorHAnsi" w:cstheme="majorHAnsi"/>
                <w:color w:val="FFFFFF"/>
                <w:sz w:val="20"/>
                <w:szCs w:val="20"/>
              </w:rPr>
              <w:t>STRATEGY</w:t>
            </w:r>
          </w:p>
        </w:tc>
        <w:tc>
          <w:tcPr>
            <w:tcW w:w="2208" w:type="pct"/>
            <w:tcBorders>
              <w:top w:val="single" w:sz="8" w:space="0" w:color="648CB2"/>
              <w:left w:val="single" w:sz="8" w:space="0" w:color="648CB2"/>
              <w:bottom w:val="single" w:sz="8" w:space="0" w:color="648CB2"/>
              <w:right w:val="single" w:sz="8" w:space="0" w:color="648CB2"/>
            </w:tcBorders>
            <w:shd w:val="clear" w:color="auto" w:fill="3984C6"/>
            <w:tcMar>
              <w:top w:w="100" w:type="dxa"/>
              <w:left w:w="100" w:type="dxa"/>
              <w:bottom w:w="100" w:type="dxa"/>
              <w:right w:w="100" w:type="dxa"/>
            </w:tcMar>
          </w:tcPr>
          <w:p w14:paraId="7EB2170F" w14:textId="77777777"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p>
        </w:tc>
      </w:tr>
      <w:tr w:rsidR="003C223A" w:rsidRPr="003C223A" w14:paraId="35E12077" w14:textId="77777777" w:rsidTr="003C223A">
        <w:trPr>
          <w:trHeight w:val="1419"/>
        </w:trPr>
        <w:tc>
          <w:tcPr>
            <w:tcW w:w="797" w:type="pct"/>
            <w:tcBorders>
              <w:top w:val="single" w:sz="8" w:space="0" w:color="648CB2"/>
            </w:tcBorders>
          </w:tcPr>
          <w:p w14:paraId="206D532A" w14:textId="463DB4ED"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b/>
                <w:color w:val="3984C6"/>
                <w:sz w:val="20"/>
                <w:szCs w:val="20"/>
              </w:rPr>
            </w:pPr>
            <w:r w:rsidRPr="003C223A">
              <w:rPr>
                <w:rFonts w:asciiTheme="majorHAnsi" w:hAnsiTheme="majorHAnsi" w:cstheme="majorHAnsi"/>
                <w:b/>
                <w:color w:val="3984C6"/>
                <w:sz w:val="20"/>
                <w:szCs w:val="20"/>
              </w:rPr>
              <w:t>OVERVIEW</w:t>
            </w:r>
          </w:p>
        </w:tc>
        <w:tc>
          <w:tcPr>
            <w:tcW w:w="1995" w:type="pct"/>
            <w:tcBorders>
              <w:top w:val="single" w:sz="8" w:space="0" w:color="648CB2"/>
            </w:tcBorders>
            <w:shd w:val="clear" w:color="auto" w:fill="auto"/>
            <w:tcMar>
              <w:top w:w="100" w:type="dxa"/>
              <w:left w:w="100" w:type="dxa"/>
              <w:bottom w:w="100" w:type="dxa"/>
              <w:right w:w="100" w:type="dxa"/>
            </w:tcMar>
          </w:tcPr>
          <w:p w14:paraId="79713B0B" w14:textId="77777777"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The Fund aims to generate compelling absolute returns by using fundamental analysis of individual companies to identify securities across the capital structure in which to trade actively</w:t>
            </w:r>
          </w:p>
          <w:p w14:paraId="386913BF" w14:textId="77777777" w:rsid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p>
          <w:p w14:paraId="1441AEB0" w14:textId="02B6C325"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The Fund will focus on securities for which there is an asymmetric tradeoff between fundamentally determined downside (upside) values and potential for price movement higher (lower) for long (short) positions.</w:t>
            </w:r>
          </w:p>
          <w:p w14:paraId="28E05990" w14:textId="77777777" w:rsid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p>
          <w:p w14:paraId="36D74F55" w14:textId="32274DCC"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Superimposed upon this trading activity is a risk management framework that aims to make the returns agnostic to market conditions, in order to prioritize the preservation of capital</w:t>
            </w:r>
          </w:p>
        </w:tc>
        <w:tc>
          <w:tcPr>
            <w:tcW w:w="2208" w:type="pct"/>
            <w:tcBorders>
              <w:top w:val="single" w:sz="8" w:space="0" w:color="648CB2"/>
            </w:tcBorders>
            <w:shd w:val="clear" w:color="auto" w:fill="auto"/>
            <w:tcMar>
              <w:top w:w="100" w:type="dxa"/>
              <w:left w:w="100" w:type="dxa"/>
              <w:bottom w:w="100" w:type="dxa"/>
              <w:right w:w="100" w:type="dxa"/>
            </w:tcMar>
          </w:tcPr>
          <w:p w14:paraId="7D0B4EF6" w14:textId="4852C8AE" w:rsidR="003C223A" w:rsidRPr="003C223A" w:rsidRDefault="003C223A">
            <w:pPr>
              <w:widowControl w:val="0"/>
              <w:spacing w:after="0" w:line="240" w:lineRule="auto"/>
              <w:rPr>
                <w:rFonts w:asciiTheme="majorHAnsi" w:hAnsiTheme="majorHAnsi" w:cstheme="majorHAnsi"/>
                <w:color w:val="222222"/>
                <w:sz w:val="20"/>
                <w:szCs w:val="20"/>
              </w:rPr>
            </w:pPr>
          </w:p>
        </w:tc>
      </w:tr>
      <w:tr w:rsidR="003C223A" w:rsidRPr="003C223A" w14:paraId="22174607" w14:textId="77777777" w:rsidTr="003C223A">
        <w:trPr>
          <w:trHeight w:val="480"/>
        </w:trPr>
        <w:tc>
          <w:tcPr>
            <w:tcW w:w="797" w:type="pct"/>
          </w:tcPr>
          <w:p w14:paraId="5B8FF297" w14:textId="0277EAD9" w:rsidR="003C223A" w:rsidRPr="003C223A" w:rsidRDefault="003C223A">
            <w:pPr>
              <w:widowControl w:val="0"/>
              <w:spacing w:after="0" w:line="240" w:lineRule="auto"/>
              <w:rPr>
                <w:rFonts w:asciiTheme="majorHAnsi" w:hAnsiTheme="majorHAnsi" w:cstheme="majorHAnsi"/>
                <w:b/>
                <w:color w:val="3984C6"/>
                <w:sz w:val="20"/>
                <w:szCs w:val="20"/>
              </w:rPr>
            </w:pPr>
            <w:r w:rsidRPr="003C223A">
              <w:rPr>
                <w:rFonts w:asciiTheme="majorHAnsi" w:hAnsiTheme="majorHAnsi" w:cstheme="majorHAnsi"/>
                <w:b/>
                <w:color w:val="3984C6"/>
                <w:sz w:val="20"/>
                <w:szCs w:val="20"/>
              </w:rPr>
              <w:t>INVESTMENT UNIVERSE</w:t>
            </w:r>
          </w:p>
        </w:tc>
        <w:tc>
          <w:tcPr>
            <w:tcW w:w="1995" w:type="pct"/>
            <w:shd w:val="clear" w:color="auto" w:fill="auto"/>
            <w:tcMar>
              <w:top w:w="100" w:type="dxa"/>
              <w:left w:w="100" w:type="dxa"/>
              <w:bottom w:w="100" w:type="dxa"/>
              <w:right w:w="100" w:type="dxa"/>
            </w:tcMar>
          </w:tcPr>
          <w:p w14:paraId="642F69BF"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Listed equities, listed equity options, public bonds</w:t>
            </w:r>
          </w:p>
        </w:tc>
        <w:tc>
          <w:tcPr>
            <w:tcW w:w="2208" w:type="pct"/>
            <w:shd w:val="clear" w:color="auto" w:fill="auto"/>
            <w:tcMar>
              <w:top w:w="100" w:type="dxa"/>
              <w:left w:w="100" w:type="dxa"/>
              <w:bottom w:w="100" w:type="dxa"/>
              <w:right w:w="100" w:type="dxa"/>
            </w:tcMar>
          </w:tcPr>
          <w:p w14:paraId="09F89FCE" w14:textId="4D7945C5" w:rsidR="003C223A" w:rsidRPr="003C223A" w:rsidRDefault="003C223A">
            <w:pPr>
              <w:widowControl w:val="0"/>
              <w:spacing w:after="0" w:line="240" w:lineRule="auto"/>
              <w:rPr>
                <w:rFonts w:asciiTheme="majorHAnsi" w:hAnsiTheme="majorHAnsi" w:cstheme="majorHAnsi"/>
                <w:color w:val="222222"/>
                <w:sz w:val="20"/>
                <w:szCs w:val="20"/>
              </w:rPr>
            </w:pPr>
          </w:p>
        </w:tc>
      </w:tr>
      <w:tr w:rsidR="003C223A" w:rsidRPr="003C223A" w14:paraId="58D00AE4" w14:textId="77777777" w:rsidTr="003C223A">
        <w:trPr>
          <w:trHeight w:val="1752"/>
        </w:trPr>
        <w:tc>
          <w:tcPr>
            <w:tcW w:w="797" w:type="pct"/>
          </w:tcPr>
          <w:p w14:paraId="72D01297" w14:textId="5550B2EF"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b/>
                <w:color w:val="3984C6"/>
                <w:sz w:val="20"/>
                <w:szCs w:val="20"/>
              </w:rPr>
              <w:t>DIFFERENTIATORS / VALUE PROPOSITION</w:t>
            </w:r>
          </w:p>
        </w:tc>
        <w:tc>
          <w:tcPr>
            <w:tcW w:w="1995" w:type="pct"/>
            <w:shd w:val="clear" w:color="auto" w:fill="auto"/>
            <w:tcMar>
              <w:top w:w="100" w:type="dxa"/>
              <w:left w:w="100" w:type="dxa"/>
              <w:bottom w:w="100" w:type="dxa"/>
              <w:right w:w="100" w:type="dxa"/>
            </w:tcMar>
          </w:tcPr>
          <w:p w14:paraId="628B659B" w14:textId="2755C5BB" w:rsidR="003C223A" w:rsidRPr="003C223A" w:rsidRDefault="003C223A" w:rsidP="003C223A">
            <w:pPr>
              <w:pStyle w:val="ListParagraph"/>
              <w:widowControl w:val="0"/>
              <w:numPr>
                <w:ilvl w:val="0"/>
                <w:numId w:val="13"/>
              </w:numPr>
              <w:spacing w:after="0" w:line="240" w:lineRule="auto"/>
              <w:ind w:left="246" w:hanging="180"/>
              <w:rPr>
                <w:rFonts w:asciiTheme="majorHAnsi" w:hAnsiTheme="majorHAnsi" w:cstheme="majorHAnsi"/>
                <w:color w:val="222222"/>
                <w:sz w:val="20"/>
                <w:szCs w:val="20"/>
              </w:rPr>
            </w:pPr>
            <w:r w:rsidRPr="003C223A">
              <w:rPr>
                <w:rFonts w:asciiTheme="majorHAnsi" w:hAnsiTheme="majorHAnsi" w:cstheme="majorHAnsi"/>
                <w:color w:val="222222"/>
                <w:sz w:val="20"/>
                <w:szCs w:val="20"/>
              </w:rPr>
              <w:t>We use a broad demarcation of events in defining our investment universe</w:t>
            </w:r>
          </w:p>
          <w:p w14:paraId="18C5C90C" w14:textId="77777777" w:rsidR="003C223A" w:rsidRPr="003C223A" w:rsidRDefault="003C223A" w:rsidP="003C223A">
            <w:pPr>
              <w:pStyle w:val="ListParagraph"/>
              <w:widowControl w:val="0"/>
              <w:numPr>
                <w:ilvl w:val="0"/>
                <w:numId w:val="13"/>
              </w:numPr>
              <w:spacing w:after="0" w:line="240" w:lineRule="auto"/>
              <w:ind w:left="246" w:hanging="180"/>
              <w:rPr>
                <w:rFonts w:asciiTheme="majorHAnsi" w:hAnsiTheme="majorHAnsi" w:cstheme="majorHAnsi"/>
                <w:color w:val="222222"/>
                <w:sz w:val="20"/>
                <w:szCs w:val="20"/>
              </w:rPr>
            </w:pPr>
            <w:r w:rsidRPr="003C223A">
              <w:rPr>
                <w:rFonts w:asciiTheme="majorHAnsi" w:hAnsiTheme="majorHAnsi" w:cstheme="majorHAnsi"/>
                <w:color w:val="222222"/>
                <w:sz w:val="20"/>
                <w:szCs w:val="20"/>
              </w:rPr>
              <w:t>We believe we have a unique and independent firm-wide process for identifying investment opportunities and conducting due diligence</w:t>
            </w:r>
          </w:p>
          <w:p w14:paraId="76BE8DC0" w14:textId="77777777" w:rsidR="003C223A" w:rsidRPr="003C223A" w:rsidRDefault="003C223A" w:rsidP="003C223A">
            <w:pPr>
              <w:pStyle w:val="ListParagraph"/>
              <w:widowControl w:val="0"/>
              <w:numPr>
                <w:ilvl w:val="0"/>
                <w:numId w:val="13"/>
              </w:numPr>
              <w:spacing w:after="0" w:line="240" w:lineRule="auto"/>
              <w:ind w:left="246" w:hanging="180"/>
              <w:rPr>
                <w:rFonts w:asciiTheme="majorHAnsi" w:hAnsiTheme="majorHAnsi" w:cstheme="majorHAnsi"/>
                <w:color w:val="222222"/>
                <w:sz w:val="20"/>
                <w:szCs w:val="20"/>
              </w:rPr>
            </w:pPr>
            <w:r w:rsidRPr="003C223A">
              <w:rPr>
                <w:rFonts w:asciiTheme="majorHAnsi" w:hAnsiTheme="majorHAnsi" w:cstheme="majorHAnsi"/>
                <w:color w:val="222222"/>
                <w:sz w:val="20"/>
                <w:szCs w:val="20"/>
              </w:rPr>
              <w:t>We utilize a proprietary methodology for sizing individual positions and managing portfolio-level exposures</w:t>
            </w:r>
          </w:p>
          <w:p w14:paraId="0C8B2BC8" w14:textId="561467BE" w:rsidR="003C223A" w:rsidRPr="003C223A" w:rsidRDefault="003C223A" w:rsidP="003C223A">
            <w:pPr>
              <w:pStyle w:val="ListParagraph"/>
              <w:widowControl w:val="0"/>
              <w:numPr>
                <w:ilvl w:val="0"/>
                <w:numId w:val="13"/>
              </w:numPr>
              <w:spacing w:after="0" w:line="240" w:lineRule="auto"/>
              <w:ind w:left="246" w:hanging="180"/>
              <w:rPr>
                <w:rFonts w:asciiTheme="majorHAnsi" w:hAnsiTheme="majorHAnsi" w:cstheme="majorHAnsi"/>
                <w:color w:val="222222"/>
                <w:sz w:val="20"/>
                <w:szCs w:val="20"/>
              </w:rPr>
            </w:pPr>
            <w:r w:rsidRPr="003C223A">
              <w:rPr>
                <w:rFonts w:asciiTheme="majorHAnsi" w:hAnsiTheme="majorHAnsi" w:cstheme="majorHAnsi"/>
                <w:color w:val="222222"/>
                <w:sz w:val="20"/>
                <w:szCs w:val="20"/>
              </w:rPr>
              <w:t>We believe that this drives the construction of a differentiated portfolio, with risk-managed for consistency</w:t>
            </w:r>
          </w:p>
          <w:p w14:paraId="521B6236" w14:textId="77777777" w:rsidR="003C223A" w:rsidRPr="003C223A" w:rsidRDefault="003C223A" w:rsidP="003C223A">
            <w:pPr>
              <w:pStyle w:val="ListParagraph"/>
              <w:widowControl w:val="0"/>
              <w:numPr>
                <w:ilvl w:val="0"/>
                <w:numId w:val="13"/>
              </w:numPr>
              <w:spacing w:after="0" w:line="240" w:lineRule="auto"/>
              <w:ind w:left="246" w:hanging="180"/>
              <w:rPr>
                <w:rFonts w:asciiTheme="majorHAnsi" w:hAnsiTheme="majorHAnsi" w:cstheme="majorHAnsi"/>
                <w:color w:val="222222"/>
                <w:sz w:val="20"/>
                <w:szCs w:val="20"/>
              </w:rPr>
            </w:pPr>
            <w:r w:rsidRPr="003C223A">
              <w:rPr>
                <w:rFonts w:asciiTheme="majorHAnsi" w:hAnsiTheme="majorHAnsi" w:cstheme="majorHAnsi"/>
                <w:color w:val="222222"/>
                <w:sz w:val="20"/>
                <w:szCs w:val="20"/>
              </w:rPr>
              <w:t>Strong investment team</w:t>
            </w:r>
          </w:p>
        </w:tc>
        <w:tc>
          <w:tcPr>
            <w:tcW w:w="2208" w:type="pct"/>
            <w:shd w:val="clear" w:color="auto" w:fill="auto"/>
            <w:tcMar>
              <w:top w:w="100" w:type="dxa"/>
              <w:left w:w="100" w:type="dxa"/>
              <w:bottom w:w="100" w:type="dxa"/>
              <w:right w:w="100" w:type="dxa"/>
            </w:tcMar>
          </w:tcPr>
          <w:p w14:paraId="7F938130" w14:textId="40768696" w:rsidR="003C223A" w:rsidRPr="003C223A" w:rsidRDefault="003C223A">
            <w:pPr>
              <w:widowControl w:val="0"/>
              <w:spacing w:after="0" w:line="240" w:lineRule="auto"/>
              <w:rPr>
                <w:rFonts w:asciiTheme="majorHAnsi" w:hAnsiTheme="majorHAnsi" w:cstheme="majorHAnsi"/>
                <w:color w:val="222222"/>
                <w:sz w:val="20"/>
                <w:szCs w:val="20"/>
              </w:rPr>
            </w:pPr>
          </w:p>
        </w:tc>
      </w:tr>
      <w:tr w:rsidR="003C223A" w:rsidRPr="003C223A" w14:paraId="4BE4B0A7" w14:textId="77777777" w:rsidTr="003C223A">
        <w:trPr>
          <w:trHeight w:val="480"/>
        </w:trPr>
        <w:tc>
          <w:tcPr>
            <w:tcW w:w="797" w:type="pct"/>
          </w:tcPr>
          <w:p w14:paraId="72B9A2BE" w14:textId="01F17EE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b/>
                <w:color w:val="3984C6"/>
                <w:sz w:val="20"/>
                <w:szCs w:val="20"/>
              </w:rPr>
              <w:t>ENVIRONMENTS YOU DO WELL</w:t>
            </w:r>
          </w:p>
        </w:tc>
        <w:tc>
          <w:tcPr>
            <w:tcW w:w="1995" w:type="pct"/>
            <w:shd w:val="clear" w:color="auto" w:fill="auto"/>
            <w:tcMar>
              <w:top w:w="100" w:type="dxa"/>
              <w:left w:w="100" w:type="dxa"/>
              <w:bottom w:w="100" w:type="dxa"/>
              <w:right w:w="100" w:type="dxa"/>
            </w:tcMar>
          </w:tcPr>
          <w:p w14:paraId="2838648F" w14:textId="77777777" w:rsidR="003C223A" w:rsidRPr="003C223A" w:rsidRDefault="003C223A" w:rsidP="003C223A">
            <w:pPr>
              <w:pStyle w:val="ListParagraph"/>
              <w:widowControl w:val="0"/>
              <w:numPr>
                <w:ilvl w:val="0"/>
                <w:numId w:val="13"/>
              </w:numPr>
              <w:spacing w:after="0" w:line="240" w:lineRule="auto"/>
              <w:ind w:left="246" w:hanging="180"/>
              <w:rPr>
                <w:rFonts w:asciiTheme="majorHAnsi" w:hAnsiTheme="majorHAnsi" w:cstheme="majorHAnsi"/>
                <w:color w:val="222222"/>
                <w:sz w:val="20"/>
                <w:szCs w:val="20"/>
              </w:rPr>
            </w:pPr>
            <w:r w:rsidRPr="003C223A">
              <w:rPr>
                <w:rFonts w:asciiTheme="majorHAnsi" w:hAnsiTheme="majorHAnsi" w:cstheme="majorHAnsi"/>
                <w:color w:val="222222"/>
                <w:sz w:val="20"/>
                <w:szCs w:val="20"/>
              </w:rPr>
              <w:t>Stable/declining correlations given our long/short setup</w:t>
            </w:r>
          </w:p>
          <w:p w14:paraId="5AD9B8E1" w14:textId="77777777" w:rsidR="003C223A" w:rsidRPr="003C223A" w:rsidRDefault="003C223A" w:rsidP="003C223A">
            <w:pPr>
              <w:pStyle w:val="ListParagraph"/>
              <w:widowControl w:val="0"/>
              <w:numPr>
                <w:ilvl w:val="0"/>
                <w:numId w:val="13"/>
              </w:numPr>
              <w:spacing w:after="0" w:line="240" w:lineRule="auto"/>
              <w:ind w:left="246" w:hanging="180"/>
              <w:rPr>
                <w:rFonts w:asciiTheme="majorHAnsi" w:hAnsiTheme="majorHAnsi" w:cstheme="majorHAnsi"/>
                <w:color w:val="222222"/>
                <w:sz w:val="20"/>
                <w:szCs w:val="20"/>
              </w:rPr>
            </w:pPr>
            <w:r w:rsidRPr="003C223A">
              <w:rPr>
                <w:rFonts w:asciiTheme="majorHAnsi" w:hAnsiTheme="majorHAnsi" w:cstheme="majorHAnsi"/>
                <w:color w:val="222222"/>
                <w:sz w:val="20"/>
                <w:szCs w:val="20"/>
              </w:rPr>
              <w:t>Sufficiently high volatility</w:t>
            </w:r>
          </w:p>
          <w:p w14:paraId="3F8AF6DC" w14:textId="77777777" w:rsidR="003C223A" w:rsidRPr="003C223A" w:rsidRDefault="003C223A" w:rsidP="003C223A">
            <w:pPr>
              <w:pStyle w:val="ListParagraph"/>
              <w:widowControl w:val="0"/>
              <w:numPr>
                <w:ilvl w:val="0"/>
                <w:numId w:val="13"/>
              </w:numPr>
              <w:spacing w:after="0" w:line="240" w:lineRule="auto"/>
              <w:ind w:left="246" w:hanging="180"/>
              <w:rPr>
                <w:rFonts w:asciiTheme="majorHAnsi" w:hAnsiTheme="majorHAnsi" w:cstheme="majorHAnsi"/>
                <w:color w:val="222222"/>
                <w:sz w:val="20"/>
                <w:szCs w:val="20"/>
              </w:rPr>
            </w:pPr>
            <w:r w:rsidRPr="003C223A">
              <w:rPr>
                <w:rFonts w:asciiTheme="majorHAnsi" w:hAnsiTheme="majorHAnsi" w:cstheme="majorHAnsi"/>
                <w:color w:val="222222"/>
                <w:sz w:val="20"/>
                <w:szCs w:val="20"/>
              </w:rPr>
              <w:t>Point Frederick benefits from volatility, unlike many hedge fund strategies that sell volatility.</w:t>
            </w:r>
          </w:p>
        </w:tc>
        <w:tc>
          <w:tcPr>
            <w:tcW w:w="2208" w:type="pct"/>
            <w:shd w:val="clear" w:color="auto" w:fill="auto"/>
            <w:tcMar>
              <w:top w:w="100" w:type="dxa"/>
              <w:left w:w="100" w:type="dxa"/>
              <w:bottom w:w="100" w:type="dxa"/>
              <w:right w:w="100" w:type="dxa"/>
            </w:tcMar>
          </w:tcPr>
          <w:p w14:paraId="512D24AC" w14:textId="1E16082E" w:rsidR="003C223A" w:rsidRPr="003C223A" w:rsidRDefault="003C223A">
            <w:pPr>
              <w:widowControl w:val="0"/>
              <w:spacing w:after="0" w:line="240" w:lineRule="auto"/>
              <w:rPr>
                <w:rFonts w:asciiTheme="majorHAnsi" w:hAnsiTheme="majorHAnsi" w:cstheme="majorHAnsi"/>
                <w:color w:val="222222"/>
                <w:sz w:val="20"/>
                <w:szCs w:val="20"/>
              </w:rPr>
            </w:pPr>
          </w:p>
        </w:tc>
      </w:tr>
      <w:tr w:rsidR="003C223A" w:rsidRPr="003C223A" w14:paraId="239A85E9" w14:textId="77777777" w:rsidTr="003C223A">
        <w:trPr>
          <w:trHeight w:val="20"/>
        </w:trPr>
        <w:tc>
          <w:tcPr>
            <w:tcW w:w="797" w:type="pct"/>
          </w:tcPr>
          <w:p w14:paraId="1F73CA06" w14:textId="289E23FC" w:rsidR="003C223A" w:rsidRPr="003C223A" w:rsidRDefault="003C223A">
            <w:pPr>
              <w:widowControl w:val="0"/>
              <w:spacing w:after="0" w:line="240" w:lineRule="auto"/>
              <w:rPr>
                <w:rFonts w:asciiTheme="majorHAnsi" w:hAnsiTheme="majorHAnsi" w:cstheme="majorHAnsi"/>
                <w:b/>
                <w:color w:val="3984C6"/>
                <w:sz w:val="20"/>
                <w:szCs w:val="20"/>
              </w:rPr>
            </w:pPr>
            <w:r w:rsidRPr="003C223A">
              <w:rPr>
                <w:rFonts w:asciiTheme="majorHAnsi" w:hAnsiTheme="majorHAnsi" w:cstheme="majorHAnsi"/>
                <w:b/>
                <w:color w:val="3984C6"/>
                <w:sz w:val="20"/>
                <w:szCs w:val="20"/>
              </w:rPr>
              <w:t>ENVIRONMENTS YOU DO POORLY</w:t>
            </w:r>
          </w:p>
        </w:tc>
        <w:tc>
          <w:tcPr>
            <w:tcW w:w="1995" w:type="pct"/>
            <w:shd w:val="clear" w:color="auto" w:fill="auto"/>
            <w:tcMar>
              <w:top w:w="100" w:type="dxa"/>
              <w:left w:w="100" w:type="dxa"/>
              <w:bottom w:w="100" w:type="dxa"/>
              <w:right w:w="100" w:type="dxa"/>
            </w:tcMar>
          </w:tcPr>
          <w:p w14:paraId="61533F49" w14:textId="77777777" w:rsidR="003C223A" w:rsidRPr="003C223A" w:rsidRDefault="003C223A" w:rsidP="003C223A">
            <w:pPr>
              <w:pStyle w:val="ListParagraph"/>
              <w:widowControl w:val="0"/>
              <w:numPr>
                <w:ilvl w:val="0"/>
                <w:numId w:val="13"/>
              </w:numPr>
              <w:spacing w:after="0" w:line="240" w:lineRule="auto"/>
              <w:ind w:left="246" w:hanging="180"/>
              <w:rPr>
                <w:rFonts w:asciiTheme="majorHAnsi" w:hAnsiTheme="majorHAnsi" w:cstheme="majorHAnsi"/>
                <w:color w:val="222222"/>
                <w:sz w:val="20"/>
                <w:szCs w:val="20"/>
              </w:rPr>
            </w:pPr>
            <w:r w:rsidRPr="003C223A">
              <w:rPr>
                <w:rFonts w:asciiTheme="majorHAnsi" w:hAnsiTheme="majorHAnsi" w:cstheme="majorHAnsi"/>
                <w:color w:val="222222"/>
                <w:sz w:val="20"/>
                <w:szCs w:val="20"/>
              </w:rPr>
              <w:t>High correlation (unstable/rising correlations) on both sides of long/short portfolio</w:t>
            </w:r>
          </w:p>
          <w:p w14:paraId="3DD87BFC" w14:textId="7BA31FC3" w:rsidR="003C223A" w:rsidRPr="003C223A" w:rsidRDefault="003C223A" w:rsidP="003C223A">
            <w:pPr>
              <w:pStyle w:val="ListParagraph"/>
              <w:widowControl w:val="0"/>
              <w:numPr>
                <w:ilvl w:val="0"/>
                <w:numId w:val="13"/>
              </w:numPr>
              <w:spacing w:after="0" w:line="240" w:lineRule="auto"/>
              <w:ind w:left="246" w:hanging="180"/>
              <w:rPr>
                <w:rFonts w:asciiTheme="majorHAnsi" w:hAnsiTheme="majorHAnsi" w:cstheme="majorHAnsi"/>
                <w:color w:val="222222"/>
                <w:sz w:val="20"/>
                <w:szCs w:val="20"/>
              </w:rPr>
            </w:pPr>
            <w:r w:rsidRPr="003C223A">
              <w:rPr>
                <w:rFonts w:asciiTheme="majorHAnsi" w:hAnsiTheme="majorHAnsi" w:cstheme="majorHAnsi"/>
                <w:color w:val="222222"/>
                <w:sz w:val="20"/>
                <w:szCs w:val="20"/>
              </w:rPr>
              <w:lastRenderedPageBreak/>
              <w:t>Low volatility where it is hard to distinguish between winners and losers.</w:t>
            </w:r>
          </w:p>
        </w:tc>
        <w:tc>
          <w:tcPr>
            <w:tcW w:w="2208" w:type="pct"/>
            <w:shd w:val="clear" w:color="auto" w:fill="auto"/>
            <w:tcMar>
              <w:top w:w="100" w:type="dxa"/>
              <w:left w:w="100" w:type="dxa"/>
              <w:bottom w:w="100" w:type="dxa"/>
              <w:right w:w="100" w:type="dxa"/>
            </w:tcMar>
          </w:tcPr>
          <w:p w14:paraId="35193888" w14:textId="4E447E76" w:rsidR="003C223A" w:rsidRPr="003C223A" w:rsidRDefault="003C223A">
            <w:pPr>
              <w:widowControl w:val="0"/>
              <w:spacing w:after="0" w:line="240" w:lineRule="auto"/>
              <w:rPr>
                <w:rFonts w:asciiTheme="majorHAnsi" w:hAnsiTheme="majorHAnsi" w:cstheme="majorHAnsi"/>
                <w:color w:val="222222"/>
                <w:sz w:val="20"/>
                <w:szCs w:val="20"/>
              </w:rPr>
            </w:pPr>
          </w:p>
        </w:tc>
      </w:tr>
      <w:tr w:rsidR="003C223A" w:rsidRPr="003C223A" w14:paraId="3651FE52" w14:textId="77777777" w:rsidTr="003C223A">
        <w:trPr>
          <w:trHeight w:val="20"/>
        </w:trPr>
        <w:tc>
          <w:tcPr>
            <w:tcW w:w="797" w:type="pct"/>
          </w:tcPr>
          <w:p w14:paraId="5A7BAF4F" w14:textId="67A559B7" w:rsidR="003C223A" w:rsidRPr="003C223A" w:rsidRDefault="003C223A">
            <w:pPr>
              <w:widowControl w:val="0"/>
              <w:spacing w:after="0" w:line="240" w:lineRule="auto"/>
              <w:rPr>
                <w:rFonts w:asciiTheme="majorHAnsi" w:hAnsiTheme="majorHAnsi" w:cstheme="majorHAnsi"/>
                <w:b/>
                <w:color w:val="3984C6"/>
                <w:sz w:val="20"/>
                <w:szCs w:val="20"/>
              </w:rPr>
            </w:pPr>
            <w:r w:rsidRPr="003C223A">
              <w:rPr>
                <w:rFonts w:asciiTheme="majorHAnsi" w:hAnsiTheme="majorHAnsi" w:cstheme="majorHAnsi"/>
                <w:b/>
                <w:color w:val="3984C6"/>
                <w:sz w:val="20"/>
                <w:szCs w:val="20"/>
              </w:rPr>
              <w:t>CAPACITY</w:t>
            </w:r>
          </w:p>
        </w:tc>
        <w:tc>
          <w:tcPr>
            <w:tcW w:w="1995" w:type="pct"/>
            <w:shd w:val="clear" w:color="auto" w:fill="auto"/>
            <w:tcMar>
              <w:top w:w="100" w:type="dxa"/>
              <w:left w:w="100" w:type="dxa"/>
              <w:bottom w:w="100" w:type="dxa"/>
              <w:right w:w="100" w:type="dxa"/>
            </w:tcMar>
          </w:tcPr>
          <w:p w14:paraId="52F30BCD"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$1B</w:t>
            </w:r>
          </w:p>
        </w:tc>
        <w:tc>
          <w:tcPr>
            <w:tcW w:w="2208" w:type="pct"/>
            <w:shd w:val="clear" w:color="auto" w:fill="auto"/>
            <w:tcMar>
              <w:top w:w="100" w:type="dxa"/>
              <w:left w:w="100" w:type="dxa"/>
              <w:bottom w:w="100" w:type="dxa"/>
              <w:right w:w="100" w:type="dxa"/>
            </w:tcMar>
          </w:tcPr>
          <w:p w14:paraId="51188FD0" w14:textId="34B46616" w:rsidR="003C223A" w:rsidRPr="003C223A" w:rsidRDefault="003C223A">
            <w:pPr>
              <w:widowControl w:val="0"/>
              <w:spacing w:after="0" w:line="240" w:lineRule="auto"/>
              <w:rPr>
                <w:rFonts w:asciiTheme="majorHAnsi" w:hAnsiTheme="majorHAnsi" w:cstheme="majorHAnsi"/>
                <w:color w:val="222222"/>
                <w:sz w:val="20"/>
                <w:szCs w:val="20"/>
              </w:rPr>
            </w:pPr>
          </w:p>
        </w:tc>
      </w:tr>
      <w:tr w:rsidR="003C223A" w:rsidRPr="003C223A" w14:paraId="05494DA3" w14:textId="77777777" w:rsidTr="003C223A">
        <w:trPr>
          <w:trHeight w:val="195"/>
        </w:trPr>
        <w:tc>
          <w:tcPr>
            <w:tcW w:w="797" w:type="pct"/>
            <w:tcBorders>
              <w:top w:val="single" w:sz="8" w:space="0" w:color="648CB2"/>
              <w:left w:val="single" w:sz="8" w:space="0" w:color="648CB2"/>
              <w:bottom w:val="single" w:sz="8" w:space="0" w:color="648CB2"/>
              <w:right w:val="single" w:sz="8" w:space="0" w:color="648CB2"/>
            </w:tcBorders>
            <w:shd w:val="clear" w:color="auto" w:fill="3984C6"/>
          </w:tcPr>
          <w:p w14:paraId="0DD00589" w14:textId="77777777" w:rsidR="003C223A" w:rsidRPr="003C223A" w:rsidRDefault="003C223A">
            <w:pPr>
              <w:widowControl w:val="0"/>
              <w:spacing w:after="0" w:line="240" w:lineRule="auto"/>
              <w:rPr>
                <w:rFonts w:asciiTheme="majorHAnsi" w:hAnsiTheme="majorHAnsi" w:cstheme="majorHAnsi"/>
                <w:color w:val="FFFFFF"/>
                <w:sz w:val="20"/>
                <w:szCs w:val="20"/>
              </w:rPr>
            </w:pPr>
          </w:p>
        </w:tc>
        <w:tc>
          <w:tcPr>
            <w:tcW w:w="1995" w:type="pct"/>
            <w:tcBorders>
              <w:top w:val="single" w:sz="8" w:space="0" w:color="648CB2"/>
              <w:left w:val="single" w:sz="8" w:space="0" w:color="648CB2"/>
              <w:bottom w:val="single" w:sz="8" w:space="0" w:color="648CB2"/>
              <w:right w:val="single" w:sz="8" w:space="0" w:color="648CB2"/>
            </w:tcBorders>
            <w:shd w:val="clear" w:color="auto" w:fill="3984C6"/>
            <w:tcMar>
              <w:top w:w="100" w:type="dxa"/>
              <w:left w:w="100" w:type="dxa"/>
              <w:bottom w:w="100" w:type="dxa"/>
              <w:right w:w="100" w:type="dxa"/>
            </w:tcMar>
          </w:tcPr>
          <w:p w14:paraId="02966EE1" w14:textId="56016016" w:rsidR="003C223A" w:rsidRPr="003C223A" w:rsidRDefault="003C223A">
            <w:pPr>
              <w:widowControl w:val="0"/>
              <w:spacing w:after="0" w:line="240" w:lineRule="auto"/>
              <w:rPr>
                <w:rFonts w:asciiTheme="majorHAnsi" w:hAnsiTheme="majorHAnsi" w:cstheme="majorHAnsi"/>
                <w:color w:val="FFFFFF"/>
                <w:sz w:val="20"/>
                <w:szCs w:val="20"/>
              </w:rPr>
            </w:pPr>
            <w:r w:rsidRPr="003C223A">
              <w:rPr>
                <w:rFonts w:asciiTheme="majorHAnsi" w:hAnsiTheme="majorHAnsi" w:cstheme="majorHAnsi"/>
                <w:color w:val="FFFFFF"/>
                <w:sz w:val="20"/>
                <w:szCs w:val="20"/>
              </w:rPr>
              <w:t>INVESTMENT PROCESS</w:t>
            </w:r>
          </w:p>
        </w:tc>
        <w:tc>
          <w:tcPr>
            <w:tcW w:w="2208" w:type="pct"/>
            <w:tcBorders>
              <w:top w:val="single" w:sz="8" w:space="0" w:color="648CB2"/>
              <w:left w:val="single" w:sz="8" w:space="0" w:color="648CB2"/>
              <w:bottom w:val="single" w:sz="8" w:space="0" w:color="648CB2"/>
              <w:right w:val="single" w:sz="8" w:space="0" w:color="648CB2"/>
            </w:tcBorders>
            <w:shd w:val="clear" w:color="auto" w:fill="3984C6"/>
            <w:tcMar>
              <w:top w:w="100" w:type="dxa"/>
              <w:left w:w="100" w:type="dxa"/>
              <w:bottom w:w="100" w:type="dxa"/>
              <w:right w:w="100" w:type="dxa"/>
            </w:tcMar>
          </w:tcPr>
          <w:p w14:paraId="60284E1B" w14:textId="77777777" w:rsidR="003C223A" w:rsidRPr="003C223A" w:rsidRDefault="003C223A">
            <w:pPr>
              <w:widowControl w:val="0"/>
              <w:spacing w:after="0" w:line="240" w:lineRule="auto"/>
              <w:rPr>
                <w:rFonts w:asciiTheme="majorHAnsi" w:hAnsiTheme="majorHAnsi" w:cstheme="majorHAnsi"/>
                <w:color w:val="222222"/>
                <w:sz w:val="20"/>
                <w:szCs w:val="20"/>
              </w:rPr>
            </w:pPr>
          </w:p>
        </w:tc>
      </w:tr>
      <w:tr w:rsidR="003C223A" w:rsidRPr="003C223A" w14:paraId="31E630FE" w14:textId="77777777" w:rsidTr="003C223A">
        <w:trPr>
          <w:trHeight w:val="480"/>
        </w:trPr>
        <w:tc>
          <w:tcPr>
            <w:tcW w:w="797" w:type="pct"/>
          </w:tcPr>
          <w:p w14:paraId="0C48BA8E" w14:textId="62F2D9A1"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b/>
                <w:color w:val="3984C6"/>
                <w:sz w:val="20"/>
                <w:szCs w:val="20"/>
              </w:rPr>
            </w:pPr>
            <w:r w:rsidRPr="003C223A">
              <w:rPr>
                <w:rFonts w:asciiTheme="majorHAnsi" w:hAnsiTheme="majorHAnsi" w:cstheme="majorHAnsi"/>
                <w:b/>
                <w:color w:val="3984C6"/>
                <w:sz w:val="20"/>
                <w:szCs w:val="20"/>
              </w:rPr>
              <w:t>IDEA GENERATION</w:t>
            </w:r>
          </w:p>
        </w:tc>
        <w:tc>
          <w:tcPr>
            <w:tcW w:w="1995" w:type="pct"/>
            <w:shd w:val="clear" w:color="auto" w:fill="auto"/>
            <w:tcMar>
              <w:top w:w="100" w:type="dxa"/>
              <w:left w:w="100" w:type="dxa"/>
              <w:bottom w:w="100" w:type="dxa"/>
              <w:right w:w="100" w:type="dxa"/>
            </w:tcMar>
          </w:tcPr>
          <w:p w14:paraId="6F0342F0" w14:textId="77777777"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We invest in developed markets special situations across the capital structure.</w:t>
            </w:r>
          </w:p>
          <w:p w14:paraId="6B2BE207" w14:textId="77777777"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p>
          <w:p w14:paraId="2BCADC9F" w14:textId="0FE33A02" w:rsidR="003C223A" w:rsidRPr="003C223A" w:rsidRDefault="003C223A" w:rsidP="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We have a broad definition of event that includes exploiting corporate M&amp;A, corporate actions, spinoffs, turnarounds, financial restructurings (both in and out of court), sector disruptive events, and macro disruptions, the combination of which gives us an opportunity set that spans the credit cycle</w:t>
            </w:r>
          </w:p>
        </w:tc>
        <w:tc>
          <w:tcPr>
            <w:tcW w:w="2208" w:type="pct"/>
            <w:shd w:val="clear" w:color="auto" w:fill="auto"/>
            <w:tcMar>
              <w:top w:w="100" w:type="dxa"/>
              <w:left w:w="100" w:type="dxa"/>
              <w:bottom w:w="100" w:type="dxa"/>
              <w:right w:w="100" w:type="dxa"/>
            </w:tcMar>
          </w:tcPr>
          <w:p w14:paraId="207E8CA4" w14:textId="07BD1F14" w:rsidR="003C223A" w:rsidRPr="003C223A" w:rsidRDefault="003C223A">
            <w:pPr>
              <w:widowControl w:val="0"/>
              <w:spacing w:after="0" w:line="240" w:lineRule="auto"/>
              <w:rPr>
                <w:rFonts w:asciiTheme="majorHAnsi" w:hAnsiTheme="majorHAnsi" w:cstheme="majorHAnsi"/>
                <w:color w:val="222222"/>
                <w:sz w:val="20"/>
                <w:szCs w:val="20"/>
              </w:rPr>
            </w:pPr>
          </w:p>
        </w:tc>
      </w:tr>
      <w:tr w:rsidR="003C223A" w:rsidRPr="003C223A" w14:paraId="7C861924" w14:textId="77777777" w:rsidTr="003C223A">
        <w:tc>
          <w:tcPr>
            <w:tcW w:w="797" w:type="pct"/>
          </w:tcPr>
          <w:p w14:paraId="1C1E729F" w14:textId="7402A20F" w:rsidR="003C223A" w:rsidRPr="003C223A" w:rsidRDefault="003C223A">
            <w:pPr>
              <w:widowControl w:val="0"/>
              <w:spacing w:after="0" w:line="240" w:lineRule="auto"/>
              <w:rPr>
                <w:rFonts w:asciiTheme="majorHAnsi" w:hAnsiTheme="majorHAnsi" w:cstheme="majorHAnsi"/>
                <w:b/>
                <w:color w:val="3984C6"/>
                <w:sz w:val="20"/>
                <w:szCs w:val="20"/>
              </w:rPr>
            </w:pPr>
            <w:r w:rsidRPr="003C223A">
              <w:rPr>
                <w:rFonts w:asciiTheme="majorHAnsi" w:hAnsiTheme="majorHAnsi" w:cstheme="majorHAnsi"/>
                <w:b/>
                <w:color w:val="3984C6"/>
                <w:sz w:val="20"/>
                <w:szCs w:val="20"/>
              </w:rPr>
              <w:t>ANALYSIS</w:t>
            </w:r>
          </w:p>
        </w:tc>
        <w:tc>
          <w:tcPr>
            <w:tcW w:w="1995" w:type="pct"/>
            <w:shd w:val="clear" w:color="auto" w:fill="auto"/>
            <w:tcMar>
              <w:top w:w="100" w:type="dxa"/>
              <w:left w:w="100" w:type="dxa"/>
              <w:bottom w:w="100" w:type="dxa"/>
              <w:right w:w="100" w:type="dxa"/>
            </w:tcMar>
          </w:tcPr>
          <w:p w14:paraId="78025887"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Three steps in selecting an individual investment idea:</w:t>
            </w:r>
          </w:p>
          <w:p w14:paraId="0D0B2097" w14:textId="77777777" w:rsidR="003C223A" w:rsidRPr="003C223A" w:rsidRDefault="003C223A" w:rsidP="003C223A">
            <w:pPr>
              <w:widowControl w:val="0"/>
              <w:numPr>
                <w:ilvl w:val="0"/>
                <w:numId w:val="5"/>
              </w:numPr>
              <w:spacing w:after="0" w:line="240" w:lineRule="auto"/>
              <w:ind w:left="246" w:hanging="246"/>
              <w:rPr>
                <w:rFonts w:asciiTheme="majorHAnsi" w:hAnsiTheme="majorHAnsi" w:cstheme="majorHAnsi"/>
                <w:color w:val="222222"/>
                <w:sz w:val="20"/>
                <w:szCs w:val="20"/>
              </w:rPr>
            </w:pPr>
            <w:r w:rsidRPr="003C223A">
              <w:rPr>
                <w:rFonts w:asciiTheme="majorHAnsi" w:hAnsiTheme="majorHAnsi" w:cstheme="majorHAnsi"/>
                <w:color w:val="222222"/>
                <w:sz w:val="20"/>
                <w:szCs w:val="20"/>
              </w:rPr>
              <w:t>Portfolio construction: Proprietary position sizing formula that relies upon five factors: the estimate of the “Risk Price”, the estimate of the “Target Price”, the current price, the maximum percentage of the portfolio he would be prepared to have invested in the name, and a discretionary input called the “Risk Speed”.</w:t>
            </w:r>
          </w:p>
          <w:p w14:paraId="7EEE09E8" w14:textId="77777777" w:rsidR="003C223A" w:rsidRPr="003C223A" w:rsidRDefault="003C223A" w:rsidP="003C223A">
            <w:pPr>
              <w:widowControl w:val="0"/>
              <w:numPr>
                <w:ilvl w:val="0"/>
                <w:numId w:val="5"/>
              </w:numPr>
              <w:spacing w:after="0" w:line="240" w:lineRule="auto"/>
              <w:ind w:left="246" w:hanging="246"/>
              <w:rPr>
                <w:rFonts w:asciiTheme="majorHAnsi" w:hAnsiTheme="majorHAnsi" w:cstheme="majorHAnsi"/>
                <w:color w:val="222222"/>
                <w:sz w:val="20"/>
                <w:szCs w:val="20"/>
              </w:rPr>
            </w:pPr>
            <w:r w:rsidRPr="003C223A">
              <w:rPr>
                <w:rFonts w:asciiTheme="majorHAnsi" w:hAnsiTheme="majorHAnsi" w:cstheme="majorHAnsi"/>
                <w:color w:val="222222"/>
                <w:sz w:val="20"/>
                <w:szCs w:val="20"/>
              </w:rPr>
              <w:t>Idea generation: The portfolio manager relies upon four tools to generate candidate names: a proprietary screening tool, event-driven news flow, general news flow, and the team’s experience in various sectors.</w:t>
            </w:r>
          </w:p>
          <w:p w14:paraId="2FAE4546" w14:textId="6FD9C18D" w:rsidR="003C223A" w:rsidRPr="003C223A" w:rsidRDefault="003C223A" w:rsidP="003C223A">
            <w:pPr>
              <w:widowControl w:val="0"/>
              <w:numPr>
                <w:ilvl w:val="0"/>
                <w:numId w:val="5"/>
              </w:numPr>
              <w:spacing w:after="0" w:line="240" w:lineRule="auto"/>
              <w:ind w:left="246" w:hanging="246"/>
              <w:rPr>
                <w:rFonts w:asciiTheme="majorHAnsi" w:hAnsiTheme="majorHAnsi" w:cstheme="majorHAnsi"/>
                <w:color w:val="222222"/>
                <w:sz w:val="20"/>
                <w:szCs w:val="20"/>
              </w:rPr>
            </w:pPr>
            <w:r w:rsidRPr="003C223A">
              <w:rPr>
                <w:rFonts w:asciiTheme="majorHAnsi" w:hAnsiTheme="majorHAnsi" w:cstheme="majorHAnsi"/>
                <w:color w:val="222222"/>
                <w:sz w:val="20"/>
                <w:szCs w:val="20"/>
              </w:rPr>
              <w:t>Due diligence: The analysts initially do the first of three stages of analysis, called “the Triage”.</w:t>
            </w:r>
          </w:p>
        </w:tc>
        <w:tc>
          <w:tcPr>
            <w:tcW w:w="2208" w:type="pct"/>
            <w:shd w:val="clear" w:color="auto" w:fill="auto"/>
            <w:tcMar>
              <w:top w:w="100" w:type="dxa"/>
              <w:left w:w="100" w:type="dxa"/>
              <w:bottom w:w="100" w:type="dxa"/>
              <w:right w:w="100" w:type="dxa"/>
            </w:tcMar>
          </w:tcPr>
          <w:p w14:paraId="4BA46366" w14:textId="7D5E07DF"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p>
        </w:tc>
      </w:tr>
      <w:tr w:rsidR="003C223A" w:rsidRPr="003C223A" w14:paraId="2E1DA3A2" w14:textId="77777777" w:rsidTr="003C223A">
        <w:tc>
          <w:tcPr>
            <w:tcW w:w="797" w:type="pct"/>
          </w:tcPr>
          <w:p w14:paraId="00709796" w14:textId="7D82970D" w:rsidR="003C223A" w:rsidRPr="003C223A" w:rsidRDefault="003C223A">
            <w:pPr>
              <w:widowControl w:val="0"/>
              <w:spacing w:after="0" w:line="240" w:lineRule="auto"/>
              <w:rPr>
                <w:rFonts w:asciiTheme="majorHAnsi" w:hAnsiTheme="majorHAnsi" w:cstheme="majorHAnsi"/>
                <w:b/>
                <w:color w:val="3984C6"/>
                <w:sz w:val="20"/>
                <w:szCs w:val="20"/>
              </w:rPr>
            </w:pPr>
            <w:r w:rsidRPr="003C223A">
              <w:rPr>
                <w:rFonts w:asciiTheme="majorHAnsi" w:hAnsiTheme="majorHAnsi" w:cstheme="majorHAnsi"/>
                <w:b/>
                <w:color w:val="3984C6"/>
                <w:sz w:val="20"/>
                <w:szCs w:val="20"/>
              </w:rPr>
              <w:t>PORTFOLIO MANAGEMENT</w:t>
            </w:r>
          </w:p>
        </w:tc>
        <w:tc>
          <w:tcPr>
            <w:tcW w:w="1995" w:type="pct"/>
            <w:shd w:val="clear" w:color="auto" w:fill="auto"/>
            <w:tcMar>
              <w:top w:w="100" w:type="dxa"/>
              <w:left w:w="100" w:type="dxa"/>
              <w:bottom w:w="100" w:type="dxa"/>
              <w:right w:w="100" w:type="dxa"/>
            </w:tcMar>
          </w:tcPr>
          <w:p w14:paraId="7BCA830B"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This overall approach to selecting candidate names ties individual position sizing and portfolio-level exposure management together in a systematic way.  </w:t>
            </w:r>
          </w:p>
          <w:p w14:paraId="23122BF8" w14:textId="77777777" w:rsidR="003C223A" w:rsidRPr="003C223A" w:rsidRDefault="003C223A">
            <w:pPr>
              <w:widowControl w:val="0"/>
              <w:spacing w:after="0" w:line="240" w:lineRule="auto"/>
              <w:rPr>
                <w:rFonts w:asciiTheme="majorHAnsi" w:hAnsiTheme="majorHAnsi" w:cstheme="majorHAnsi"/>
                <w:color w:val="222222"/>
                <w:sz w:val="20"/>
                <w:szCs w:val="20"/>
              </w:rPr>
            </w:pPr>
          </w:p>
          <w:p w14:paraId="0B2D7D06"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For a given maximum percentage and risk speed combination, individual names are sized in order of their respective reward-to-risk tradeoffs, with the most attractive reward-to-risk tradeoffs meriting the largest position sizes, ceteris paribus.  </w:t>
            </w:r>
          </w:p>
          <w:p w14:paraId="6B21FDEF" w14:textId="77777777" w:rsidR="003C223A" w:rsidRPr="003C223A" w:rsidRDefault="003C223A">
            <w:pPr>
              <w:widowControl w:val="0"/>
              <w:spacing w:after="0" w:line="240" w:lineRule="auto"/>
              <w:rPr>
                <w:rFonts w:asciiTheme="majorHAnsi" w:hAnsiTheme="majorHAnsi" w:cstheme="majorHAnsi"/>
                <w:color w:val="222222"/>
                <w:sz w:val="20"/>
                <w:szCs w:val="20"/>
              </w:rPr>
            </w:pPr>
          </w:p>
          <w:p w14:paraId="1217A0DB"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To the extent that an individual position is making money, the portfolio manager will size it up by increasing the maximum percentage.  </w:t>
            </w:r>
          </w:p>
          <w:p w14:paraId="2F829BBF" w14:textId="77777777" w:rsidR="003C223A" w:rsidRPr="003C223A" w:rsidRDefault="003C223A">
            <w:pPr>
              <w:widowControl w:val="0"/>
              <w:spacing w:after="0" w:line="240" w:lineRule="auto"/>
              <w:rPr>
                <w:rFonts w:asciiTheme="majorHAnsi" w:hAnsiTheme="majorHAnsi" w:cstheme="majorHAnsi"/>
                <w:color w:val="222222"/>
                <w:sz w:val="20"/>
                <w:szCs w:val="20"/>
              </w:rPr>
            </w:pPr>
          </w:p>
          <w:p w14:paraId="409DABFA"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Also, the portfolio manager will look to optimize </w:t>
            </w:r>
            <w:r w:rsidRPr="003C223A">
              <w:rPr>
                <w:rFonts w:asciiTheme="majorHAnsi" w:hAnsiTheme="majorHAnsi" w:cstheme="majorHAnsi"/>
                <w:color w:val="222222"/>
                <w:sz w:val="20"/>
                <w:szCs w:val="20"/>
              </w:rPr>
              <w:lastRenderedPageBreak/>
              <w:t xml:space="preserve">the individual risk speed given the historical and forecast volatility in the name. </w:t>
            </w:r>
          </w:p>
        </w:tc>
        <w:tc>
          <w:tcPr>
            <w:tcW w:w="2208" w:type="pct"/>
            <w:shd w:val="clear" w:color="auto" w:fill="auto"/>
            <w:tcMar>
              <w:top w:w="100" w:type="dxa"/>
              <w:left w:w="100" w:type="dxa"/>
              <w:bottom w:w="100" w:type="dxa"/>
              <w:right w:w="100" w:type="dxa"/>
            </w:tcMar>
          </w:tcPr>
          <w:p w14:paraId="7BDB7B7F" w14:textId="1B60EC67" w:rsidR="003C223A" w:rsidRPr="003C223A" w:rsidRDefault="003C223A">
            <w:pPr>
              <w:widowControl w:val="0"/>
              <w:spacing w:after="0" w:line="240" w:lineRule="auto"/>
              <w:rPr>
                <w:rFonts w:asciiTheme="majorHAnsi" w:hAnsiTheme="majorHAnsi" w:cstheme="majorHAnsi"/>
                <w:color w:val="222222"/>
                <w:sz w:val="20"/>
                <w:szCs w:val="20"/>
              </w:rPr>
            </w:pPr>
          </w:p>
        </w:tc>
      </w:tr>
      <w:tr w:rsidR="003C223A" w:rsidRPr="003C223A" w14:paraId="41AD50FF" w14:textId="77777777" w:rsidTr="003C223A">
        <w:trPr>
          <w:trHeight w:val="1581"/>
        </w:trPr>
        <w:tc>
          <w:tcPr>
            <w:tcW w:w="797" w:type="pct"/>
          </w:tcPr>
          <w:p w14:paraId="4E7ADB6F" w14:textId="192F5805" w:rsidR="003C223A" w:rsidRPr="003C223A" w:rsidRDefault="003C223A">
            <w:pPr>
              <w:widowControl w:val="0"/>
              <w:spacing w:after="0" w:line="240" w:lineRule="auto"/>
              <w:rPr>
                <w:rFonts w:asciiTheme="majorHAnsi" w:hAnsiTheme="majorHAnsi" w:cstheme="majorHAnsi"/>
                <w:b/>
                <w:color w:val="3984C6"/>
                <w:sz w:val="20"/>
                <w:szCs w:val="20"/>
              </w:rPr>
            </w:pPr>
            <w:r w:rsidRPr="003C223A">
              <w:rPr>
                <w:rFonts w:asciiTheme="majorHAnsi" w:hAnsiTheme="majorHAnsi" w:cstheme="majorHAnsi"/>
                <w:b/>
                <w:color w:val="3984C6"/>
                <w:sz w:val="20"/>
                <w:szCs w:val="20"/>
              </w:rPr>
              <w:t>RISK MANAGEMENT</w:t>
            </w:r>
          </w:p>
        </w:tc>
        <w:tc>
          <w:tcPr>
            <w:tcW w:w="1995" w:type="pct"/>
            <w:shd w:val="clear" w:color="auto" w:fill="auto"/>
            <w:tcMar>
              <w:top w:w="100" w:type="dxa"/>
              <w:left w:w="100" w:type="dxa"/>
              <w:bottom w:w="100" w:type="dxa"/>
              <w:right w:w="100" w:type="dxa"/>
            </w:tcMar>
          </w:tcPr>
          <w:p w14:paraId="414C62F9"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The CIO measures and tests liquidity by evaluating historical and estimated trading liquidity with the ongoing rebalancing of the portfolio before </w:t>
            </w:r>
            <w:proofErr w:type="gramStart"/>
            <w:r w:rsidRPr="003C223A">
              <w:rPr>
                <w:rFonts w:asciiTheme="majorHAnsi" w:hAnsiTheme="majorHAnsi" w:cstheme="majorHAnsi"/>
                <w:color w:val="222222"/>
                <w:sz w:val="20"/>
                <w:szCs w:val="20"/>
              </w:rPr>
              <w:t>entering into</w:t>
            </w:r>
            <w:proofErr w:type="gramEnd"/>
            <w:r w:rsidRPr="003C223A">
              <w:rPr>
                <w:rFonts w:asciiTheme="majorHAnsi" w:hAnsiTheme="majorHAnsi" w:cstheme="majorHAnsi"/>
                <w:color w:val="222222"/>
                <w:sz w:val="20"/>
                <w:szCs w:val="20"/>
              </w:rPr>
              <w:t xml:space="preserve"> a putative trade using metrics such as: </w:t>
            </w:r>
          </w:p>
          <w:p w14:paraId="2A7DBBAE" w14:textId="77777777" w:rsidR="003C223A" w:rsidRPr="003C223A" w:rsidRDefault="003C223A">
            <w:pPr>
              <w:widowControl w:val="0"/>
              <w:numPr>
                <w:ilvl w:val="0"/>
                <w:numId w:val="9"/>
              </w:numPr>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The average daily volume</w:t>
            </w:r>
          </w:p>
          <w:p w14:paraId="3495D828" w14:textId="77777777" w:rsidR="003C223A" w:rsidRPr="003C223A" w:rsidRDefault="003C223A">
            <w:pPr>
              <w:widowControl w:val="0"/>
              <w:numPr>
                <w:ilvl w:val="0"/>
                <w:numId w:val="9"/>
              </w:numPr>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The percentage of shares outstanding represented by the free float</w:t>
            </w:r>
          </w:p>
          <w:p w14:paraId="4B5969C4" w14:textId="7A1E918A" w:rsidR="003C223A" w:rsidRPr="003C223A" w:rsidRDefault="003C223A" w:rsidP="003C223A">
            <w:pPr>
              <w:widowControl w:val="0"/>
              <w:numPr>
                <w:ilvl w:val="0"/>
                <w:numId w:val="9"/>
              </w:numPr>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The percentage of the free float that is sold short</w:t>
            </w:r>
          </w:p>
        </w:tc>
        <w:tc>
          <w:tcPr>
            <w:tcW w:w="2208" w:type="pct"/>
            <w:shd w:val="clear" w:color="auto" w:fill="auto"/>
            <w:tcMar>
              <w:top w:w="100" w:type="dxa"/>
              <w:left w:w="100" w:type="dxa"/>
              <w:bottom w:w="100" w:type="dxa"/>
              <w:right w:w="100" w:type="dxa"/>
            </w:tcMar>
          </w:tcPr>
          <w:p w14:paraId="403B6563" w14:textId="7059DE97" w:rsidR="003C223A" w:rsidRPr="003C223A" w:rsidRDefault="003C223A">
            <w:pPr>
              <w:widowControl w:val="0"/>
              <w:spacing w:after="0" w:line="240" w:lineRule="auto"/>
              <w:rPr>
                <w:rFonts w:asciiTheme="majorHAnsi" w:hAnsiTheme="majorHAnsi" w:cstheme="majorHAnsi"/>
                <w:color w:val="222222"/>
                <w:sz w:val="20"/>
                <w:szCs w:val="20"/>
              </w:rPr>
            </w:pPr>
          </w:p>
        </w:tc>
      </w:tr>
      <w:tr w:rsidR="003C223A" w:rsidRPr="003C223A" w14:paraId="6BB0B674" w14:textId="77777777" w:rsidTr="003C223A">
        <w:trPr>
          <w:trHeight w:val="276"/>
        </w:trPr>
        <w:tc>
          <w:tcPr>
            <w:tcW w:w="797" w:type="pct"/>
          </w:tcPr>
          <w:p w14:paraId="0C0B5F4C" w14:textId="33858837" w:rsidR="003C223A" w:rsidRPr="003C223A" w:rsidRDefault="003C223A">
            <w:pPr>
              <w:widowControl w:val="0"/>
              <w:spacing w:after="0" w:line="240" w:lineRule="auto"/>
              <w:rPr>
                <w:rFonts w:asciiTheme="majorHAnsi" w:hAnsiTheme="majorHAnsi" w:cstheme="majorHAnsi"/>
                <w:b/>
                <w:color w:val="3984C6"/>
                <w:sz w:val="20"/>
                <w:szCs w:val="20"/>
              </w:rPr>
            </w:pPr>
            <w:r w:rsidRPr="003C223A">
              <w:rPr>
                <w:rFonts w:asciiTheme="majorHAnsi" w:hAnsiTheme="majorHAnsi" w:cstheme="majorHAnsi"/>
                <w:b/>
                <w:color w:val="3984C6"/>
                <w:sz w:val="20"/>
                <w:szCs w:val="20"/>
              </w:rPr>
              <w:t>KEY MAN CLAUSE</w:t>
            </w:r>
          </w:p>
        </w:tc>
        <w:tc>
          <w:tcPr>
            <w:tcW w:w="1995" w:type="pct"/>
            <w:shd w:val="clear" w:color="auto" w:fill="auto"/>
            <w:tcMar>
              <w:top w:w="100" w:type="dxa"/>
              <w:left w:w="100" w:type="dxa"/>
              <w:bottom w:w="100" w:type="dxa"/>
              <w:right w:w="100" w:type="dxa"/>
            </w:tcMar>
          </w:tcPr>
          <w:p w14:paraId="4C14F4D7"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No</w:t>
            </w:r>
          </w:p>
        </w:tc>
        <w:tc>
          <w:tcPr>
            <w:tcW w:w="2208" w:type="pct"/>
            <w:shd w:val="clear" w:color="auto" w:fill="auto"/>
            <w:tcMar>
              <w:top w:w="100" w:type="dxa"/>
              <w:left w:w="100" w:type="dxa"/>
              <w:bottom w:w="100" w:type="dxa"/>
              <w:right w:w="100" w:type="dxa"/>
            </w:tcMar>
          </w:tcPr>
          <w:p w14:paraId="5B01B605" w14:textId="42BD4961" w:rsidR="003C223A" w:rsidRPr="003C223A" w:rsidRDefault="003C223A">
            <w:pPr>
              <w:widowControl w:val="0"/>
              <w:spacing w:after="0" w:line="240" w:lineRule="auto"/>
              <w:rPr>
                <w:rFonts w:asciiTheme="majorHAnsi" w:hAnsiTheme="majorHAnsi" w:cstheme="majorHAnsi"/>
                <w:color w:val="222222"/>
                <w:sz w:val="20"/>
                <w:szCs w:val="20"/>
              </w:rPr>
            </w:pPr>
          </w:p>
        </w:tc>
      </w:tr>
      <w:tr w:rsidR="003C223A" w:rsidRPr="003C223A" w14:paraId="0AD4CE75" w14:textId="77777777" w:rsidTr="003C223A">
        <w:tc>
          <w:tcPr>
            <w:tcW w:w="797" w:type="pct"/>
            <w:tcBorders>
              <w:top w:val="single" w:sz="8" w:space="0" w:color="648CB2"/>
              <w:left w:val="single" w:sz="8" w:space="0" w:color="648CB2"/>
              <w:bottom w:val="single" w:sz="8" w:space="0" w:color="648CB2"/>
              <w:right w:val="single" w:sz="8" w:space="0" w:color="648CB2"/>
            </w:tcBorders>
            <w:shd w:val="clear" w:color="auto" w:fill="3984C6"/>
          </w:tcPr>
          <w:p w14:paraId="40091E26" w14:textId="77777777" w:rsidR="003C223A" w:rsidRPr="003C223A" w:rsidRDefault="003C223A">
            <w:pPr>
              <w:widowControl w:val="0"/>
              <w:spacing w:after="0" w:line="240" w:lineRule="auto"/>
              <w:rPr>
                <w:rFonts w:asciiTheme="majorHAnsi" w:hAnsiTheme="majorHAnsi" w:cstheme="majorHAnsi"/>
                <w:color w:val="FFFFFF"/>
                <w:sz w:val="20"/>
                <w:szCs w:val="20"/>
              </w:rPr>
            </w:pPr>
          </w:p>
        </w:tc>
        <w:tc>
          <w:tcPr>
            <w:tcW w:w="1995" w:type="pct"/>
            <w:tcBorders>
              <w:top w:val="single" w:sz="8" w:space="0" w:color="648CB2"/>
              <w:left w:val="single" w:sz="8" w:space="0" w:color="648CB2"/>
              <w:bottom w:val="single" w:sz="8" w:space="0" w:color="648CB2"/>
              <w:right w:val="single" w:sz="8" w:space="0" w:color="648CB2"/>
            </w:tcBorders>
            <w:shd w:val="clear" w:color="auto" w:fill="3984C6"/>
            <w:tcMar>
              <w:top w:w="100" w:type="dxa"/>
              <w:left w:w="100" w:type="dxa"/>
              <w:bottom w:w="100" w:type="dxa"/>
              <w:right w:w="100" w:type="dxa"/>
            </w:tcMar>
          </w:tcPr>
          <w:p w14:paraId="75547BC5" w14:textId="2B5391B2" w:rsidR="003C223A" w:rsidRPr="003C223A" w:rsidRDefault="003C223A">
            <w:pPr>
              <w:widowControl w:val="0"/>
              <w:spacing w:after="0" w:line="240" w:lineRule="auto"/>
              <w:rPr>
                <w:rFonts w:asciiTheme="majorHAnsi" w:hAnsiTheme="majorHAnsi" w:cstheme="majorHAnsi"/>
                <w:color w:val="FFFFFF"/>
                <w:sz w:val="20"/>
                <w:szCs w:val="20"/>
              </w:rPr>
            </w:pPr>
            <w:r w:rsidRPr="003C223A">
              <w:rPr>
                <w:rFonts w:asciiTheme="majorHAnsi" w:hAnsiTheme="majorHAnsi" w:cstheme="majorHAnsi"/>
                <w:color w:val="FFFFFF"/>
                <w:sz w:val="20"/>
                <w:szCs w:val="20"/>
              </w:rPr>
              <w:t>FUND DETAILS</w:t>
            </w:r>
          </w:p>
        </w:tc>
        <w:tc>
          <w:tcPr>
            <w:tcW w:w="2208" w:type="pct"/>
            <w:tcBorders>
              <w:top w:val="single" w:sz="8" w:space="0" w:color="648CB2"/>
              <w:left w:val="single" w:sz="8" w:space="0" w:color="648CB2"/>
              <w:bottom w:val="single" w:sz="8" w:space="0" w:color="648CB2"/>
              <w:right w:val="single" w:sz="8" w:space="0" w:color="648CB2"/>
            </w:tcBorders>
            <w:shd w:val="clear" w:color="auto" w:fill="3984C6"/>
            <w:tcMar>
              <w:top w:w="100" w:type="dxa"/>
              <w:left w:w="100" w:type="dxa"/>
              <w:bottom w:w="100" w:type="dxa"/>
              <w:right w:w="100" w:type="dxa"/>
            </w:tcMar>
          </w:tcPr>
          <w:p w14:paraId="451D29AE" w14:textId="77777777" w:rsidR="003C223A" w:rsidRPr="003C223A" w:rsidRDefault="003C223A">
            <w:pPr>
              <w:widowControl w:val="0"/>
              <w:spacing w:after="0" w:line="240" w:lineRule="auto"/>
              <w:rPr>
                <w:rFonts w:asciiTheme="majorHAnsi" w:hAnsiTheme="majorHAnsi" w:cstheme="majorHAnsi"/>
                <w:color w:val="222222"/>
                <w:sz w:val="20"/>
                <w:szCs w:val="20"/>
              </w:rPr>
            </w:pPr>
          </w:p>
        </w:tc>
      </w:tr>
      <w:tr w:rsidR="003C223A" w:rsidRPr="003C223A" w14:paraId="6E986775" w14:textId="77777777" w:rsidTr="003C223A">
        <w:tc>
          <w:tcPr>
            <w:tcW w:w="797" w:type="pct"/>
          </w:tcPr>
          <w:p w14:paraId="15EF5753" w14:textId="0B8AE11D"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b/>
                <w:color w:val="3984C6"/>
                <w:sz w:val="20"/>
                <w:szCs w:val="20"/>
              </w:rPr>
            </w:pPr>
            <w:r w:rsidRPr="003C223A">
              <w:rPr>
                <w:rFonts w:asciiTheme="majorHAnsi" w:hAnsiTheme="majorHAnsi" w:cstheme="majorHAnsi"/>
                <w:b/>
                <w:color w:val="3984C6"/>
                <w:sz w:val="20"/>
                <w:szCs w:val="20"/>
              </w:rPr>
              <w:t>SERVICE PROVIDERS</w:t>
            </w:r>
          </w:p>
        </w:tc>
        <w:tc>
          <w:tcPr>
            <w:tcW w:w="1995" w:type="pct"/>
            <w:shd w:val="clear" w:color="auto" w:fill="auto"/>
            <w:tcMar>
              <w:top w:w="100" w:type="dxa"/>
              <w:left w:w="100" w:type="dxa"/>
              <w:bottom w:w="100" w:type="dxa"/>
              <w:right w:w="100" w:type="dxa"/>
            </w:tcMar>
          </w:tcPr>
          <w:p w14:paraId="6ED7741E" w14:textId="77777777"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Prime Broker: </w:t>
            </w:r>
            <w:proofErr w:type="spellStart"/>
            <w:r w:rsidRPr="003C223A">
              <w:rPr>
                <w:rFonts w:asciiTheme="majorHAnsi" w:hAnsiTheme="majorHAnsi" w:cstheme="majorHAnsi"/>
                <w:color w:val="222222"/>
                <w:sz w:val="20"/>
                <w:szCs w:val="20"/>
              </w:rPr>
              <w:t>Cuttone</w:t>
            </w:r>
            <w:proofErr w:type="spellEnd"/>
            <w:r w:rsidRPr="003C223A">
              <w:rPr>
                <w:rFonts w:asciiTheme="majorHAnsi" w:hAnsiTheme="majorHAnsi" w:cstheme="majorHAnsi"/>
                <w:color w:val="222222"/>
                <w:sz w:val="20"/>
                <w:szCs w:val="20"/>
              </w:rPr>
              <w:t xml:space="preserve"> &amp; Company</w:t>
            </w:r>
          </w:p>
          <w:p w14:paraId="5A8EA499" w14:textId="77777777"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Administrator: SS&amp;C Technologies, Inc.</w:t>
            </w:r>
          </w:p>
          <w:p w14:paraId="2D4D6B9B" w14:textId="77777777"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Bank / Custodian: JP Morgan</w:t>
            </w:r>
          </w:p>
          <w:p w14:paraId="0E25F3FA" w14:textId="77777777"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Auditor: </w:t>
            </w:r>
            <w:proofErr w:type="spellStart"/>
            <w:r w:rsidRPr="003C223A">
              <w:rPr>
                <w:rFonts w:asciiTheme="majorHAnsi" w:hAnsiTheme="majorHAnsi" w:cstheme="majorHAnsi"/>
                <w:color w:val="222222"/>
                <w:sz w:val="20"/>
                <w:szCs w:val="20"/>
              </w:rPr>
              <w:t>EisnerAmper</w:t>
            </w:r>
            <w:proofErr w:type="spellEnd"/>
            <w:r w:rsidRPr="003C223A">
              <w:rPr>
                <w:rFonts w:asciiTheme="majorHAnsi" w:hAnsiTheme="majorHAnsi" w:cstheme="majorHAnsi"/>
                <w:color w:val="222222"/>
                <w:sz w:val="20"/>
                <w:szCs w:val="20"/>
              </w:rPr>
              <w:t xml:space="preserve"> LLP</w:t>
            </w:r>
          </w:p>
          <w:p w14:paraId="610D690D" w14:textId="77777777"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Legal Counsel: </w:t>
            </w:r>
            <w:proofErr w:type="spellStart"/>
            <w:r w:rsidRPr="003C223A">
              <w:rPr>
                <w:rFonts w:asciiTheme="majorHAnsi" w:hAnsiTheme="majorHAnsi" w:cstheme="majorHAnsi"/>
                <w:color w:val="222222"/>
                <w:sz w:val="20"/>
                <w:szCs w:val="20"/>
              </w:rPr>
              <w:t>Katten</w:t>
            </w:r>
            <w:proofErr w:type="spellEnd"/>
            <w:r w:rsidRPr="003C223A">
              <w:rPr>
                <w:rFonts w:asciiTheme="majorHAnsi" w:hAnsiTheme="majorHAnsi" w:cstheme="majorHAnsi"/>
                <w:color w:val="222222"/>
                <w:sz w:val="20"/>
                <w:szCs w:val="20"/>
              </w:rPr>
              <w:t xml:space="preserve"> </w:t>
            </w:r>
            <w:proofErr w:type="spellStart"/>
            <w:r w:rsidRPr="003C223A">
              <w:rPr>
                <w:rFonts w:asciiTheme="majorHAnsi" w:hAnsiTheme="majorHAnsi" w:cstheme="majorHAnsi"/>
                <w:color w:val="222222"/>
                <w:sz w:val="20"/>
                <w:szCs w:val="20"/>
              </w:rPr>
              <w:t>Muchin</w:t>
            </w:r>
            <w:proofErr w:type="spellEnd"/>
            <w:r w:rsidRPr="003C223A">
              <w:rPr>
                <w:rFonts w:asciiTheme="majorHAnsi" w:hAnsiTheme="majorHAnsi" w:cstheme="majorHAnsi"/>
                <w:color w:val="222222"/>
                <w:sz w:val="20"/>
                <w:szCs w:val="20"/>
              </w:rPr>
              <w:t xml:space="preserve"> Roseman LLP</w:t>
            </w:r>
          </w:p>
        </w:tc>
        <w:tc>
          <w:tcPr>
            <w:tcW w:w="2208" w:type="pct"/>
            <w:shd w:val="clear" w:color="auto" w:fill="auto"/>
            <w:tcMar>
              <w:top w:w="100" w:type="dxa"/>
              <w:left w:w="100" w:type="dxa"/>
              <w:bottom w:w="100" w:type="dxa"/>
              <w:right w:w="100" w:type="dxa"/>
            </w:tcMar>
          </w:tcPr>
          <w:p w14:paraId="42CD5BC8"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Prime Broker: </w:t>
            </w:r>
          </w:p>
          <w:p w14:paraId="5B46D727"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Administrator: </w:t>
            </w:r>
          </w:p>
          <w:p w14:paraId="47B8E8A8"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Bank / Custodian: </w:t>
            </w:r>
          </w:p>
          <w:p w14:paraId="1BC247AE"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Auditor: </w:t>
            </w:r>
          </w:p>
          <w:p w14:paraId="07449F1A" w14:textId="77777777" w:rsidR="003C223A" w:rsidRPr="003C223A" w:rsidRDefault="003C223A">
            <w:pPr>
              <w:widowControl w:val="0"/>
              <w:spacing w:after="0" w:line="240" w:lineRule="auto"/>
              <w:rPr>
                <w:rFonts w:asciiTheme="majorHAnsi" w:hAnsiTheme="majorHAnsi" w:cstheme="majorHAnsi"/>
                <w:b/>
                <w:color w:val="3984C6"/>
                <w:sz w:val="20"/>
                <w:szCs w:val="20"/>
              </w:rPr>
            </w:pPr>
            <w:r w:rsidRPr="003C223A">
              <w:rPr>
                <w:rFonts w:asciiTheme="majorHAnsi" w:hAnsiTheme="majorHAnsi" w:cstheme="majorHAnsi"/>
                <w:color w:val="222222"/>
                <w:sz w:val="20"/>
                <w:szCs w:val="20"/>
              </w:rPr>
              <w:t xml:space="preserve">Legal Counsel: </w:t>
            </w:r>
          </w:p>
        </w:tc>
      </w:tr>
      <w:tr w:rsidR="003C223A" w:rsidRPr="003C223A" w14:paraId="4457597D" w14:textId="77777777" w:rsidTr="003C223A">
        <w:tc>
          <w:tcPr>
            <w:tcW w:w="797" w:type="pct"/>
          </w:tcPr>
          <w:p w14:paraId="03207DDB" w14:textId="57BE93B7" w:rsidR="003C223A" w:rsidRPr="003C223A" w:rsidRDefault="003C223A">
            <w:pPr>
              <w:widowControl w:val="0"/>
              <w:spacing w:after="0" w:line="240" w:lineRule="auto"/>
              <w:rPr>
                <w:rFonts w:asciiTheme="majorHAnsi" w:hAnsiTheme="majorHAnsi" w:cstheme="majorHAnsi"/>
                <w:b/>
                <w:color w:val="3984C6"/>
                <w:sz w:val="20"/>
                <w:szCs w:val="20"/>
              </w:rPr>
            </w:pPr>
            <w:r w:rsidRPr="003C223A">
              <w:rPr>
                <w:rFonts w:asciiTheme="majorHAnsi" w:hAnsiTheme="majorHAnsi" w:cstheme="majorHAnsi"/>
                <w:b/>
                <w:color w:val="3984C6"/>
                <w:sz w:val="20"/>
                <w:szCs w:val="20"/>
              </w:rPr>
              <w:t>REPORTING / INVESTOR RELATIONS / ELIGIBILITY</w:t>
            </w:r>
          </w:p>
        </w:tc>
        <w:tc>
          <w:tcPr>
            <w:tcW w:w="1995" w:type="pct"/>
            <w:shd w:val="clear" w:color="auto" w:fill="auto"/>
            <w:tcMar>
              <w:top w:w="100" w:type="dxa"/>
              <w:left w:w="100" w:type="dxa"/>
              <w:bottom w:w="100" w:type="dxa"/>
              <w:right w:w="100" w:type="dxa"/>
            </w:tcMar>
          </w:tcPr>
          <w:p w14:paraId="5663A66F"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Financial Statement / Audit Date: 12/31</w:t>
            </w:r>
          </w:p>
          <w:p w14:paraId="47F4DD32"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Report Frequency to Investors (NAV): Monthly</w:t>
            </w:r>
          </w:p>
          <w:p w14:paraId="1F7B5A15" w14:textId="4DA8A679" w:rsidR="003C223A" w:rsidRPr="003C223A" w:rsidRDefault="003C223A" w:rsidP="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Eligible Investors: Qualified Purchaser</w:t>
            </w:r>
          </w:p>
        </w:tc>
        <w:tc>
          <w:tcPr>
            <w:tcW w:w="2208" w:type="pct"/>
            <w:shd w:val="clear" w:color="auto" w:fill="auto"/>
            <w:tcMar>
              <w:top w:w="100" w:type="dxa"/>
              <w:left w:w="100" w:type="dxa"/>
              <w:bottom w:w="100" w:type="dxa"/>
              <w:right w:w="100" w:type="dxa"/>
            </w:tcMar>
          </w:tcPr>
          <w:p w14:paraId="27745820"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Financial Statement / Audit Date: </w:t>
            </w:r>
          </w:p>
          <w:p w14:paraId="35658D95"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Report Frequency to Investors (NAV): </w:t>
            </w:r>
          </w:p>
          <w:p w14:paraId="13F54B53" w14:textId="77777777" w:rsidR="003C223A" w:rsidRPr="003C223A" w:rsidRDefault="003C223A">
            <w:pPr>
              <w:widowControl w:val="0"/>
              <w:spacing w:after="0" w:line="240" w:lineRule="auto"/>
              <w:rPr>
                <w:rFonts w:asciiTheme="majorHAnsi" w:hAnsiTheme="majorHAnsi" w:cstheme="majorHAnsi"/>
                <w:b/>
                <w:color w:val="3984C6"/>
                <w:sz w:val="20"/>
                <w:szCs w:val="20"/>
              </w:rPr>
            </w:pPr>
            <w:r w:rsidRPr="003C223A">
              <w:rPr>
                <w:rFonts w:asciiTheme="majorHAnsi" w:hAnsiTheme="majorHAnsi" w:cstheme="majorHAnsi"/>
                <w:color w:val="222222"/>
                <w:sz w:val="20"/>
                <w:szCs w:val="20"/>
              </w:rPr>
              <w:t xml:space="preserve">Eligible Investors: </w:t>
            </w:r>
          </w:p>
        </w:tc>
      </w:tr>
      <w:tr w:rsidR="003C223A" w:rsidRPr="003C223A" w14:paraId="5E9EB6E9" w14:textId="77777777" w:rsidTr="003C223A">
        <w:tc>
          <w:tcPr>
            <w:tcW w:w="797" w:type="pct"/>
          </w:tcPr>
          <w:p w14:paraId="6E7CF3D3" w14:textId="5520FDA4" w:rsidR="003C223A" w:rsidRPr="003C223A" w:rsidRDefault="003C223A">
            <w:pPr>
              <w:widowControl w:val="0"/>
              <w:spacing w:after="0" w:line="240" w:lineRule="auto"/>
              <w:rPr>
                <w:rFonts w:asciiTheme="majorHAnsi" w:hAnsiTheme="majorHAnsi" w:cstheme="majorHAnsi"/>
                <w:b/>
                <w:color w:val="3984C6"/>
                <w:sz w:val="20"/>
                <w:szCs w:val="20"/>
              </w:rPr>
            </w:pPr>
            <w:r w:rsidRPr="003C223A">
              <w:rPr>
                <w:rFonts w:asciiTheme="majorHAnsi" w:hAnsiTheme="majorHAnsi" w:cstheme="majorHAnsi"/>
                <w:b/>
                <w:color w:val="3984C6"/>
                <w:sz w:val="20"/>
                <w:szCs w:val="20"/>
              </w:rPr>
              <w:t>AUM</w:t>
            </w:r>
          </w:p>
        </w:tc>
        <w:tc>
          <w:tcPr>
            <w:tcW w:w="1995" w:type="pct"/>
            <w:shd w:val="clear" w:color="auto" w:fill="auto"/>
            <w:tcMar>
              <w:top w:w="100" w:type="dxa"/>
              <w:left w:w="100" w:type="dxa"/>
              <w:bottom w:w="100" w:type="dxa"/>
              <w:right w:w="100" w:type="dxa"/>
            </w:tcMar>
          </w:tcPr>
          <w:p w14:paraId="3544B802"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Fund AUM ($mm): 100</w:t>
            </w:r>
          </w:p>
          <w:p w14:paraId="38629D78" w14:textId="5A075A94" w:rsidR="003C223A" w:rsidRPr="003C223A" w:rsidRDefault="003C223A" w:rsidP="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AUM Date: Mar 2018</w:t>
            </w:r>
          </w:p>
        </w:tc>
        <w:tc>
          <w:tcPr>
            <w:tcW w:w="2208" w:type="pct"/>
            <w:shd w:val="clear" w:color="auto" w:fill="auto"/>
            <w:tcMar>
              <w:top w:w="100" w:type="dxa"/>
              <w:left w:w="100" w:type="dxa"/>
              <w:bottom w:w="100" w:type="dxa"/>
              <w:right w:w="100" w:type="dxa"/>
            </w:tcMar>
          </w:tcPr>
          <w:p w14:paraId="50EB2058"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Fund AUM ($mm):</w:t>
            </w:r>
          </w:p>
          <w:p w14:paraId="4F39271F" w14:textId="672ACBCF" w:rsidR="003C223A" w:rsidRPr="003C223A" w:rsidRDefault="003C223A" w:rsidP="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AUM Date: </w:t>
            </w:r>
          </w:p>
        </w:tc>
      </w:tr>
      <w:tr w:rsidR="003C223A" w:rsidRPr="003C223A" w14:paraId="4C1B5FD7" w14:textId="77777777" w:rsidTr="003C223A">
        <w:tc>
          <w:tcPr>
            <w:tcW w:w="797" w:type="pct"/>
          </w:tcPr>
          <w:p w14:paraId="6228A49E" w14:textId="0A4B78E6" w:rsidR="003C223A" w:rsidRPr="003C223A" w:rsidRDefault="003C223A">
            <w:pPr>
              <w:widowControl w:val="0"/>
              <w:spacing w:after="0" w:line="240" w:lineRule="auto"/>
              <w:rPr>
                <w:rFonts w:asciiTheme="majorHAnsi" w:hAnsiTheme="majorHAnsi" w:cstheme="majorHAnsi"/>
                <w:b/>
                <w:color w:val="3984C6"/>
                <w:sz w:val="20"/>
                <w:szCs w:val="20"/>
              </w:rPr>
            </w:pPr>
            <w:r w:rsidRPr="003C223A">
              <w:rPr>
                <w:rFonts w:asciiTheme="majorHAnsi" w:hAnsiTheme="majorHAnsi" w:cstheme="majorHAnsi"/>
                <w:b/>
                <w:color w:val="3984C6"/>
                <w:sz w:val="20"/>
                <w:szCs w:val="20"/>
              </w:rPr>
              <w:t>FUND STRUCTURE</w:t>
            </w:r>
          </w:p>
        </w:tc>
        <w:tc>
          <w:tcPr>
            <w:tcW w:w="1995" w:type="pct"/>
            <w:shd w:val="clear" w:color="auto" w:fill="auto"/>
            <w:tcMar>
              <w:top w:w="100" w:type="dxa"/>
              <w:left w:w="100" w:type="dxa"/>
              <w:bottom w:w="100" w:type="dxa"/>
              <w:right w:w="100" w:type="dxa"/>
            </w:tcMar>
          </w:tcPr>
          <w:p w14:paraId="439270C8"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Legal Name: Point Frederick Equity Fund, LLC</w:t>
            </w:r>
          </w:p>
          <w:p w14:paraId="63FD8005"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Open / Closed Ended: Close Ended</w:t>
            </w:r>
          </w:p>
          <w:p w14:paraId="0F253814"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Fund Status: Open</w:t>
            </w:r>
          </w:p>
          <w:p w14:paraId="21E51F33"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Tax Structure: Master Feeder | Offshore | Onshore</w:t>
            </w:r>
          </w:p>
          <w:p w14:paraId="6DEAA963"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Domicile Country: United States</w:t>
            </w:r>
          </w:p>
          <w:p w14:paraId="5E712E34"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Tax Efficient: No</w:t>
            </w:r>
          </w:p>
          <w:p w14:paraId="370668D1"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Ticker: POFRE</w:t>
            </w:r>
          </w:p>
        </w:tc>
        <w:tc>
          <w:tcPr>
            <w:tcW w:w="2208" w:type="pct"/>
            <w:shd w:val="clear" w:color="auto" w:fill="auto"/>
            <w:tcMar>
              <w:top w:w="100" w:type="dxa"/>
              <w:left w:w="100" w:type="dxa"/>
              <w:bottom w:w="100" w:type="dxa"/>
              <w:right w:w="100" w:type="dxa"/>
            </w:tcMar>
          </w:tcPr>
          <w:p w14:paraId="585AFF5F"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Legal Name: </w:t>
            </w:r>
          </w:p>
          <w:p w14:paraId="3603C7BD"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Open / Closed Ended:</w:t>
            </w:r>
          </w:p>
          <w:p w14:paraId="4A126A89"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Fund Status: </w:t>
            </w:r>
          </w:p>
          <w:p w14:paraId="3F8DF18C"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Tax Structure:</w:t>
            </w:r>
          </w:p>
          <w:p w14:paraId="4378514A"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Domicile Country: </w:t>
            </w:r>
          </w:p>
          <w:p w14:paraId="79D35E05"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Tax Efficient:</w:t>
            </w:r>
          </w:p>
          <w:p w14:paraId="3CCAD35D"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Ticker:</w:t>
            </w:r>
          </w:p>
        </w:tc>
      </w:tr>
      <w:tr w:rsidR="003C223A" w:rsidRPr="003C223A" w14:paraId="33CD414E" w14:textId="77777777" w:rsidTr="003C223A">
        <w:trPr>
          <w:trHeight w:val="20"/>
        </w:trPr>
        <w:tc>
          <w:tcPr>
            <w:tcW w:w="797" w:type="pct"/>
            <w:tcBorders>
              <w:top w:val="single" w:sz="8" w:space="0" w:color="648CB2"/>
              <w:left w:val="single" w:sz="8" w:space="0" w:color="648CB2"/>
              <w:bottom w:val="single" w:sz="8" w:space="0" w:color="648CB2"/>
              <w:right w:val="single" w:sz="8" w:space="0" w:color="648CB2"/>
            </w:tcBorders>
            <w:shd w:val="clear" w:color="auto" w:fill="3984C6"/>
          </w:tcPr>
          <w:p w14:paraId="54CBC907" w14:textId="77777777" w:rsidR="003C223A" w:rsidRPr="003C223A" w:rsidRDefault="003C223A">
            <w:pPr>
              <w:widowControl w:val="0"/>
              <w:spacing w:after="0" w:line="240" w:lineRule="auto"/>
              <w:rPr>
                <w:rFonts w:asciiTheme="majorHAnsi" w:hAnsiTheme="majorHAnsi" w:cstheme="majorHAnsi"/>
                <w:color w:val="FFFFFF"/>
                <w:sz w:val="20"/>
                <w:szCs w:val="20"/>
              </w:rPr>
            </w:pPr>
          </w:p>
        </w:tc>
        <w:tc>
          <w:tcPr>
            <w:tcW w:w="1995" w:type="pct"/>
            <w:tcBorders>
              <w:top w:val="single" w:sz="8" w:space="0" w:color="648CB2"/>
              <w:left w:val="single" w:sz="8" w:space="0" w:color="648CB2"/>
              <w:bottom w:val="single" w:sz="8" w:space="0" w:color="648CB2"/>
              <w:right w:val="single" w:sz="8" w:space="0" w:color="648CB2"/>
            </w:tcBorders>
            <w:shd w:val="clear" w:color="auto" w:fill="3984C6"/>
            <w:tcMar>
              <w:top w:w="100" w:type="dxa"/>
              <w:left w:w="100" w:type="dxa"/>
              <w:bottom w:w="100" w:type="dxa"/>
              <w:right w:w="100" w:type="dxa"/>
            </w:tcMar>
          </w:tcPr>
          <w:p w14:paraId="513898C4" w14:textId="4C402B59" w:rsidR="003C223A" w:rsidRPr="003C223A" w:rsidRDefault="003C223A">
            <w:pPr>
              <w:widowControl w:val="0"/>
              <w:spacing w:after="0" w:line="240" w:lineRule="auto"/>
              <w:rPr>
                <w:rFonts w:asciiTheme="majorHAnsi" w:hAnsiTheme="majorHAnsi" w:cstheme="majorHAnsi"/>
                <w:color w:val="FFFFFF"/>
                <w:sz w:val="20"/>
                <w:szCs w:val="20"/>
              </w:rPr>
            </w:pPr>
            <w:r w:rsidRPr="003C223A">
              <w:rPr>
                <w:rFonts w:asciiTheme="majorHAnsi" w:hAnsiTheme="majorHAnsi" w:cstheme="majorHAnsi"/>
                <w:color w:val="FFFFFF"/>
                <w:sz w:val="20"/>
                <w:szCs w:val="20"/>
              </w:rPr>
              <w:t>FIRM DETAILS</w:t>
            </w:r>
          </w:p>
        </w:tc>
        <w:tc>
          <w:tcPr>
            <w:tcW w:w="2208" w:type="pct"/>
            <w:tcBorders>
              <w:top w:val="single" w:sz="8" w:space="0" w:color="648CB2"/>
              <w:left w:val="single" w:sz="8" w:space="0" w:color="648CB2"/>
              <w:bottom w:val="single" w:sz="8" w:space="0" w:color="648CB2"/>
              <w:right w:val="single" w:sz="8" w:space="0" w:color="648CB2"/>
            </w:tcBorders>
            <w:shd w:val="clear" w:color="auto" w:fill="3984C6"/>
            <w:tcMar>
              <w:top w:w="100" w:type="dxa"/>
              <w:left w:w="100" w:type="dxa"/>
              <w:bottom w:w="100" w:type="dxa"/>
              <w:right w:w="100" w:type="dxa"/>
            </w:tcMar>
          </w:tcPr>
          <w:p w14:paraId="034972FF" w14:textId="77777777" w:rsidR="003C223A" w:rsidRPr="003C223A" w:rsidRDefault="003C223A">
            <w:pPr>
              <w:widowControl w:val="0"/>
              <w:spacing w:after="0" w:line="240" w:lineRule="auto"/>
              <w:rPr>
                <w:rFonts w:asciiTheme="majorHAnsi" w:hAnsiTheme="majorHAnsi" w:cstheme="majorHAnsi"/>
                <w:color w:val="222222"/>
                <w:sz w:val="20"/>
                <w:szCs w:val="20"/>
              </w:rPr>
            </w:pPr>
          </w:p>
        </w:tc>
      </w:tr>
      <w:tr w:rsidR="003C223A" w:rsidRPr="003C223A" w14:paraId="7AA5B75F" w14:textId="77777777" w:rsidTr="003C223A">
        <w:trPr>
          <w:trHeight w:val="681"/>
        </w:trPr>
        <w:tc>
          <w:tcPr>
            <w:tcW w:w="797" w:type="pct"/>
          </w:tcPr>
          <w:p w14:paraId="7D13C762" w14:textId="77777777"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p>
        </w:tc>
        <w:tc>
          <w:tcPr>
            <w:tcW w:w="1995" w:type="pct"/>
            <w:shd w:val="clear" w:color="auto" w:fill="auto"/>
            <w:tcMar>
              <w:top w:w="100" w:type="dxa"/>
              <w:left w:w="100" w:type="dxa"/>
              <w:bottom w:w="100" w:type="dxa"/>
              <w:right w:w="100" w:type="dxa"/>
            </w:tcMar>
          </w:tcPr>
          <w:p w14:paraId="3A6D5D92" w14:textId="28EBE743"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F</w:t>
            </w:r>
            <w:r>
              <w:rPr>
                <w:rFonts w:asciiTheme="majorHAnsi" w:hAnsiTheme="majorHAnsi" w:cstheme="majorHAnsi"/>
                <w:color w:val="222222"/>
                <w:sz w:val="20"/>
                <w:szCs w:val="20"/>
              </w:rPr>
              <w:t>irm</w:t>
            </w:r>
            <w:r w:rsidRPr="003C223A">
              <w:rPr>
                <w:rFonts w:asciiTheme="majorHAnsi" w:hAnsiTheme="majorHAnsi" w:cstheme="majorHAnsi"/>
                <w:color w:val="222222"/>
                <w:sz w:val="20"/>
                <w:szCs w:val="20"/>
              </w:rPr>
              <w:t xml:space="preserve"> AUM ($mm): 100</w:t>
            </w:r>
          </w:p>
          <w:p w14:paraId="10AB7831" w14:textId="77777777"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AUM Date: Mar 2018</w:t>
            </w:r>
          </w:p>
          <w:p w14:paraId="1D2EB496" w14:textId="77777777"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Inception date: March 2010</w:t>
            </w:r>
          </w:p>
          <w:p w14:paraId="23D2AE98" w14:textId="77777777" w:rsidR="003C223A" w:rsidRPr="003C223A" w:rsidRDefault="003C223A">
            <w:pPr>
              <w:widowControl w:val="0"/>
              <w:pBdr>
                <w:top w:val="nil"/>
                <w:left w:val="nil"/>
                <w:bottom w:val="nil"/>
                <w:right w:val="nil"/>
                <w:between w:val="nil"/>
              </w:pBdr>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Contact email address:  info@point.com</w:t>
            </w:r>
          </w:p>
        </w:tc>
        <w:tc>
          <w:tcPr>
            <w:tcW w:w="2208" w:type="pct"/>
            <w:shd w:val="clear" w:color="auto" w:fill="auto"/>
            <w:tcMar>
              <w:top w:w="100" w:type="dxa"/>
              <w:left w:w="100" w:type="dxa"/>
              <w:bottom w:w="100" w:type="dxa"/>
              <w:right w:w="100" w:type="dxa"/>
            </w:tcMar>
          </w:tcPr>
          <w:p w14:paraId="669B82E6" w14:textId="5130AAB6" w:rsidR="003C223A" w:rsidRPr="003C223A" w:rsidRDefault="003C223A">
            <w:pPr>
              <w:widowControl w:val="0"/>
              <w:spacing w:after="0" w:line="240" w:lineRule="auto"/>
              <w:rPr>
                <w:rFonts w:asciiTheme="majorHAnsi" w:hAnsiTheme="majorHAnsi" w:cstheme="majorHAnsi"/>
                <w:color w:val="222222"/>
                <w:sz w:val="20"/>
                <w:szCs w:val="20"/>
              </w:rPr>
            </w:pPr>
            <w:r>
              <w:rPr>
                <w:rFonts w:asciiTheme="majorHAnsi" w:hAnsiTheme="majorHAnsi" w:cstheme="majorHAnsi"/>
                <w:color w:val="222222"/>
                <w:sz w:val="20"/>
                <w:szCs w:val="20"/>
              </w:rPr>
              <w:t>Firm</w:t>
            </w:r>
            <w:r w:rsidRPr="003C223A">
              <w:rPr>
                <w:rFonts w:asciiTheme="majorHAnsi" w:hAnsiTheme="majorHAnsi" w:cstheme="majorHAnsi"/>
                <w:color w:val="222222"/>
                <w:sz w:val="20"/>
                <w:szCs w:val="20"/>
              </w:rPr>
              <w:t xml:space="preserve"> AUM ($mm):</w:t>
            </w:r>
          </w:p>
          <w:p w14:paraId="76F9A11F"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AUM Date: </w:t>
            </w:r>
          </w:p>
          <w:p w14:paraId="61A70DDB"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Inception date:</w:t>
            </w:r>
          </w:p>
          <w:p w14:paraId="60CB8477" w14:textId="77777777" w:rsidR="003C223A" w:rsidRPr="003C223A" w:rsidRDefault="003C223A">
            <w:pPr>
              <w:widowControl w:val="0"/>
              <w:spacing w:after="0" w:line="240" w:lineRule="auto"/>
              <w:rPr>
                <w:rFonts w:asciiTheme="majorHAnsi" w:hAnsiTheme="majorHAnsi" w:cstheme="majorHAnsi"/>
                <w:color w:val="222222"/>
                <w:sz w:val="20"/>
                <w:szCs w:val="20"/>
              </w:rPr>
            </w:pPr>
            <w:r w:rsidRPr="003C223A">
              <w:rPr>
                <w:rFonts w:asciiTheme="majorHAnsi" w:hAnsiTheme="majorHAnsi" w:cstheme="majorHAnsi"/>
                <w:color w:val="222222"/>
                <w:sz w:val="20"/>
                <w:szCs w:val="20"/>
              </w:rPr>
              <w:t xml:space="preserve">Contact email address: </w:t>
            </w:r>
          </w:p>
        </w:tc>
      </w:tr>
    </w:tbl>
    <w:p w14:paraId="4278B82A" w14:textId="77777777" w:rsidR="00227082" w:rsidRDefault="00227082">
      <w:pPr>
        <w:shd w:val="clear" w:color="auto" w:fill="FFFFFF"/>
        <w:spacing w:after="0" w:line="240" w:lineRule="auto"/>
        <w:rPr>
          <w:color w:val="222222"/>
          <w:sz w:val="24"/>
          <w:szCs w:val="24"/>
        </w:rPr>
      </w:pPr>
      <w:bookmarkStart w:id="1" w:name="_GoBack"/>
      <w:bookmarkEnd w:id="1"/>
    </w:p>
    <w:sectPr w:rsidR="00227082" w:rsidSect="003C223A">
      <w:headerReference w:type="default" r:id="rId7"/>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BF406" w14:textId="77777777" w:rsidR="00494A9F" w:rsidRDefault="00494A9F">
      <w:pPr>
        <w:spacing w:after="0" w:line="240" w:lineRule="auto"/>
      </w:pPr>
      <w:r>
        <w:separator/>
      </w:r>
    </w:p>
  </w:endnote>
  <w:endnote w:type="continuationSeparator" w:id="0">
    <w:p w14:paraId="2E96E560" w14:textId="77777777" w:rsidR="00494A9F" w:rsidRDefault="0049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CB69" w14:textId="77777777" w:rsidR="00227082" w:rsidRDefault="00494A9F">
    <w:pPr>
      <w:pBdr>
        <w:top w:val="nil"/>
        <w:left w:val="nil"/>
        <w:bottom w:val="nil"/>
        <w:right w:val="nil"/>
        <w:between w:val="nil"/>
      </w:pBdr>
      <w:tabs>
        <w:tab w:val="center" w:pos="4680"/>
        <w:tab w:val="right" w:pos="9360"/>
      </w:tabs>
      <w:spacing w:after="0" w:line="240" w:lineRule="auto"/>
      <w:rPr>
        <w:color w:val="000000"/>
      </w:rPr>
    </w:pPr>
    <w:r>
      <w:rPr>
        <w:rFonts w:ascii="Arial" w:eastAsia="Arial" w:hAnsi="Arial" w:cs="Arial"/>
        <w:noProof/>
        <w:color w:val="000000"/>
      </w:rPr>
      <w:drawing>
        <wp:inline distT="0" distB="0" distL="0" distR="0" wp14:anchorId="494562C7" wp14:editId="332088FD">
          <wp:extent cx="6766560" cy="29210"/>
          <wp:effectExtent l="0" t="0" r="0" b="889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6560" cy="29210"/>
                  </a:xfrm>
                  <a:prstGeom prst="rect">
                    <a:avLst/>
                  </a:prstGeom>
                  <a:ln/>
                </pic:spPr>
              </pic:pic>
            </a:graphicData>
          </a:graphic>
        </wp:inline>
      </w:drawing>
    </w:r>
  </w:p>
  <w:p w14:paraId="29884FE4" w14:textId="77777777" w:rsidR="00227082" w:rsidRDefault="00494A9F">
    <w:pPr>
      <w:pBdr>
        <w:top w:val="nil"/>
        <w:left w:val="nil"/>
        <w:bottom w:val="nil"/>
        <w:right w:val="nil"/>
        <w:between w:val="nil"/>
      </w:pBdr>
      <w:spacing w:before="120" w:after="0" w:line="240" w:lineRule="auto"/>
      <w:jc w:val="center"/>
      <w:rPr>
        <w:color w:val="648CB2"/>
        <w:sz w:val="18"/>
        <w:szCs w:val="18"/>
      </w:rPr>
    </w:pPr>
    <w:proofErr w:type="gramStart"/>
    <w:r>
      <w:rPr>
        <w:color w:val="648CB2"/>
        <w:sz w:val="18"/>
        <w:szCs w:val="18"/>
      </w:rPr>
      <w:t>info@primealpha.com  |</w:t>
    </w:r>
    <w:proofErr w:type="gramEnd"/>
    <w:r>
      <w:rPr>
        <w:color w:val="648CB2"/>
        <w:sz w:val="18"/>
        <w:szCs w:val="18"/>
      </w:rPr>
      <w:t xml:space="preserve">  www.primealpha.com  |  750 Lexington Avenue, New York, NY 10022</w:t>
    </w:r>
  </w:p>
  <w:p w14:paraId="6D6DA203" w14:textId="77777777" w:rsidR="00227082" w:rsidRDefault="00494A9F">
    <w:pPr>
      <w:pBdr>
        <w:top w:val="nil"/>
        <w:left w:val="nil"/>
        <w:bottom w:val="nil"/>
        <w:right w:val="nil"/>
        <w:between w:val="nil"/>
      </w:pBdr>
      <w:spacing w:before="120" w:after="0" w:line="240" w:lineRule="auto"/>
      <w:jc w:val="right"/>
      <w:rPr>
        <w:color w:val="648CB2"/>
        <w:sz w:val="18"/>
        <w:szCs w:val="18"/>
      </w:rPr>
    </w:pPr>
    <w:r>
      <w:rPr>
        <w:color w:val="648CB2"/>
        <w:sz w:val="18"/>
        <w:szCs w:val="18"/>
      </w:rPr>
      <w:fldChar w:fldCharType="begin"/>
    </w:r>
    <w:r>
      <w:rPr>
        <w:color w:val="648CB2"/>
        <w:sz w:val="18"/>
        <w:szCs w:val="18"/>
      </w:rPr>
      <w:instrText>PAGE</w:instrText>
    </w:r>
    <w:r w:rsidR="003C223A">
      <w:rPr>
        <w:color w:val="648CB2"/>
        <w:sz w:val="18"/>
        <w:szCs w:val="18"/>
      </w:rPr>
      <w:fldChar w:fldCharType="separate"/>
    </w:r>
    <w:r w:rsidR="003C223A">
      <w:rPr>
        <w:noProof/>
        <w:color w:val="648CB2"/>
        <w:sz w:val="18"/>
        <w:szCs w:val="18"/>
      </w:rPr>
      <w:t>1</w:t>
    </w:r>
    <w:r>
      <w:rPr>
        <w:color w:val="648CB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ED9ED" w14:textId="77777777" w:rsidR="00494A9F" w:rsidRDefault="00494A9F">
      <w:pPr>
        <w:spacing w:after="0" w:line="240" w:lineRule="auto"/>
      </w:pPr>
      <w:r>
        <w:separator/>
      </w:r>
    </w:p>
  </w:footnote>
  <w:footnote w:type="continuationSeparator" w:id="0">
    <w:p w14:paraId="045E7565" w14:textId="77777777" w:rsidR="00494A9F" w:rsidRDefault="0049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EDF0" w14:textId="77777777" w:rsidR="00227082" w:rsidRDefault="00494A9F">
    <w:r>
      <w:rPr>
        <w:noProof/>
      </w:rPr>
      <w:drawing>
        <wp:anchor distT="114300" distB="114300" distL="114300" distR="114300" simplePos="0" relativeHeight="251658240" behindDoc="0" locked="0" layoutInCell="1" hidden="0" allowOverlap="1" wp14:anchorId="73D20F8F" wp14:editId="2D7618EA">
          <wp:simplePos x="0" y="0"/>
          <wp:positionH relativeFrom="column">
            <wp:posOffset>2011680</wp:posOffset>
          </wp:positionH>
          <wp:positionV relativeFrom="paragraph">
            <wp:posOffset>-210820</wp:posOffset>
          </wp:positionV>
          <wp:extent cx="2743200" cy="468838"/>
          <wp:effectExtent l="0" t="0" r="0" b="0"/>
          <wp:wrapSquare wrapText="bothSides" distT="114300" distB="11430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743200" cy="4688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1AA"/>
    <w:multiLevelType w:val="multilevel"/>
    <w:tmpl w:val="D1A8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361B1"/>
    <w:multiLevelType w:val="multilevel"/>
    <w:tmpl w:val="143A6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FB4E75"/>
    <w:multiLevelType w:val="multilevel"/>
    <w:tmpl w:val="5D223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803E19"/>
    <w:multiLevelType w:val="multilevel"/>
    <w:tmpl w:val="00528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F726D3"/>
    <w:multiLevelType w:val="hybridMultilevel"/>
    <w:tmpl w:val="3C74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0778D"/>
    <w:multiLevelType w:val="multilevel"/>
    <w:tmpl w:val="7EB8B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7E35E0"/>
    <w:multiLevelType w:val="multilevel"/>
    <w:tmpl w:val="21E00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3666BB"/>
    <w:multiLevelType w:val="multilevel"/>
    <w:tmpl w:val="A0D23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4E7EDA"/>
    <w:multiLevelType w:val="multilevel"/>
    <w:tmpl w:val="87B820C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617457EF"/>
    <w:multiLevelType w:val="multilevel"/>
    <w:tmpl w:val="7C5C3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4F3D9E"/>
    <w:multiLevelType w:val="multilevel"/>
    <w:tmpl w:val="1AE8B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8E73AB"/>
    <w:multiLevelType w:val="multilevel"/>
    <w:tmpl w:val="70FE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6F4372"/>
    <w:multiLevelType w:val="multilevel"/>
    <w:tmpl w:val="7DD0F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1"/>
  </w:num>
  <w:num w:numId="3">
    <w:abstractNumId w:val="5"/>
  </w:num>
  <w:num w:numId="4">
    <w:abstractNumId w:val="9"/>
  </w:num>
  <w:num w:numId="5">
    <w:abstractNumId w:val="8"/>
  </w:num>
  <w:num w:numId="6">
    <w:abstractNumId w:val="12"/>
  </w:num>
  <w:num w:numId="7">
    <w:abstractNumId w:val="3"/>
  </w:num>
  <w:num w:numId="8">
    <w:abstractNumId w:val="0"/>
  </w:num>
  <w:num w:numId="9">
    <w:abstractNumId w:val="2"/>
  </w:num>
  <w:num w:numId="10">
    <w:abstractNumId w:val="10"/>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82"/>
    <w:rsid w:val="00227082"/>
    <w:rsid w:val="003C223A"/>
    <w:rsid w:val="0049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170B2"/>
  <w15:docId w15:val="{6D9C0E85-9DCA-444F-AFD5-434F8D7F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C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23A"/>
  </w:style>
  <w:style w:type="paragraph" w:styleId="Footer">
    <w:name w:val="footer"/>
    <w:basedOn w:val="Normal"/>
    <w:link w:val="FooterChar"/>
    <w:uiPriority w:val="99"/>
    <w:unhideWhenUsed/>
    <w:rsid w:val="003C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23A"/>
  </w:style>
  <w:style w:type="paragraph" w:styleId="ListParagraph">
    <w:name w:val="List Paragraph"/>
    <w:basedOn w:val="Normal"/>
    <w:uiPriority w:val="34"/>
    <w:qFormat/>
    <w:rsid w:val="003C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Jogia</cp:lastModifiedBy>
  <cp:revision>2</cp:revision>
  <dcterms:created xsi:type="dcterms:W3CDTF">2020-02-15T02:53:00Z</dcterms:created>
  <dcterms:modified xsi:type="dcterms:W3CDTF">2020-02-15T03:06:00Z</dcterms:modified>
</cp:coreProperties>
</file>